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center"/>
        <w:rPr>
          <w:rFonts w:ascii="Times New Roman" w:hAnsi="Times New Roman" w:eastAsia="方正小标宋简体" w:cs="Times New Roman"/>
          <w:b/>
          <w:sz w:val="52"/>
          <w:szCs w:val="52"/>
        </w:rPr>
      </w:pPr>
      <w:r>
        <w:rPr>
          <w:rFonts w:ascii="Times New Roman" w:hAnsi="Times New Roman" w:eastAsia="方正小标宋简体" w:cs="Times New Roman"/>
          <w:b/>
          <w:sz w:val="52"/>
          <w:szCs w:val="52"/>
        </w:rPr>
        <w:t>学位授权点</w:t>
      </w:r>
      <w:r>
        <w:rPr>
          <w:rFonts w:hint="eastAsia" w:ascii="Times New Roman" w:hAnsi="Times New Roman" w:eastAsia="方正小标宋简体" w:cs="Times New Roman"/>
          <w:b/>
          <w:sz w:val="52"/>
          <w:szCs w:val="52"/>
        </w:rPr>
        <w:t>建设年度</w:t>
      </w:r>
      <w:r>
        <w:rPr>
          <w:rFonts w:ascii="Times New Roman" w:hAnsi="Times New Roman" w:eastAsia="方正小标宋简体" w:cs="Times New Roman"/>
          <w:b/>
          <w:sz w:val="52"/>
          <w:szCs w:val="52"/>
        </w:rPr>
        <w:t>报告</w:t>
      </w:r>
    </w:p>
    <w:p>
      <w:pPr>
        <w:spacing w:after="156" w:afterLines="50" w:line="560" w:lineRule="exact"/>
        <w:jc w:val="center"/>
        <w:rPr>
          <w:rFonts w:ascii="Times New Roman" w:hAnsi="Times New Roman" w:eastAsia="方正小标宋简体" w:cs="Times New Roman"/>
          <w:b/>
          <w:sz w:val="52"/>
          <w:szCs w:val="52"/>
        </w:rPr>
      </w:pPr>
      <w:r>
        <w:rPr>
          <w:rFonts w:hint="eastAsia" w:ascii="Times New Roman" w:hAnsi="Times New Roman" w:eastAsia="方正小标宋简体" w:cs="Times New Roman"/>
          <w:b/>
          <w:sz w:val="52"/>
          <w:szCs w:val="52"/>
        </w:rPr>
        <w:t>（</w:t>
      </w:r>
      <w:r>
        <w:rPr>
          <w:rFonts w:hint="eastAsia" w:ascii="Times New Roman" w:hAnsi="Times New Roman" w:eastAsia="方正小标宋简体" w:cs="Times New Roman"/>
          <w:b/>
          <w:sz w:val="52"/>
          <w:szCs w:val="52"/>
          <w:lang w:val="en-US" w:eastAsia="zh-CN"/>
        </w:rPr>
        <w:t>2021</w:t>
      </w:r>
      <w:r>
        <w:rPr>
          <w:rFonts w:hint="eastAsia" w:ascii="Times New Roman" w:hAnsi="Times New Roman" w:eastAsia="方正小标宋简体" w:cs="Times New Roman"/>
          <w:b/>
          <w:sz w:val="52"/>
          <w:szCs w:val="52"/>
        </w:rPr>
        <w:t>年）</w:t>
      </w:r>
    </w:p>
    <w:p>
      <w:pPr>
        <w:spacing w:after="156" w:afterLines="50" w:line="560" w:lineRule="exact"/>
        <w:jc w:val="center"/>
        <w:rPr>
          <w:rFonts w:ascii="Times New Roman" w:hAnsi="Times New Roman" w:eastAsia="方正小标宋简体" w:cs="Times New Roman"/>
          <w:b/>
          <w:sz w:val="44"/>
          <w:szCs w:val="44"/>
        </w:rPr>
      </w:pPr>
    </w:p>
    <w:tbl>
      <w:tblPr>
        <w:tblStyle w:val="8"/>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200" w:lineRule="atLeast"/>
              <w:jc w:val="distribute"/>
              <w:rPr>
                <w:rFonts w:ascii="Times New Roman" w:hAnsi="Times New Roman" w:eastAsia="楷体_GB2312" w:cs="Times New Roman"/>
                <w:b/>
                <w:sz w:val="30"/>
                <w:szCs w:val="30"/>
              </w:rPr>
            </w:pPr>
            <w:r>
              <w:rPr>
                <w:rFonts w:ascii="Times New Roman" w:hAnsi="Times New Roman" w:eastAsia="楷体_GB2312" w:cs="Times New Roman"/>
                <w:b/>
                <w:sz w:val="30"/>
                <w:szCs w:val="30"/>
              </w:rPr>
              <w:t>学位授予单位</w:t>
            </w:r>
          </w:p>
        </w:tc>
        <w:tc>
          <w:tcPr>
            <w:tcW w:w="2880" w:type="dxa"/>
            <w:tcBorders>
              <w:bottom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0"/>
                <w:szCs w:val="30"/>
              </w:rPr>
              <w:t>名称：湖南农业大学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jc w:val="center"/>
              <w:rPr>
                <w:rFonts w:ascii="Times New Roman" w:hAnsi="Times New Roman" w:eastAsia="楷体_GB2312" w:cs="Times New Roman"/>
                <w:b/>
                <w:sz w:val="30"/>
                <w:szCs w:val="30"/>
              </w:rPr>
            </w:pPr>
          </w:p>
        </w:tc>
        <w:tc>
          <w:tcPr>
            <w:tcW w:w="2880" w:type="dxa"/>
            <w:tcBorders>
              <w:top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0"/>
                <w:szCs w:val="30"/>
              </w:rPr>
              <w:t>代码：</w:t>
            </w:r>
            <w:r>
              <w:rPr>
                <w:rFonts w:hint="eastAsia" w:ascii="Times New Roman" w:hAnsi="Times New Roman" w:eastAsia="楷体_GB2312" w:cs="Times New Roman"/>
                <w:b/>
                <w:sz w:val="30"/>
                <w:szCs w:val="30"/>
              </w:rPr>
              <w:t>10537</w:t>
            </w:r>
          </w:p>
        </w:tc>
      </w:tr>
    </w:tbl>
    <w:p>
      <w:pPr>
        <w:spacing w:line="720" w:lineRule="auto"/>
        <w:jc w:val="center"/>
        <w:rPr>
          <w:rFonts w:ascii="Times New Roman" w:hAnsi="Times New Roman" w:eastAsia="楷体_GB2312" w:cs="Times New Roman"/>
          <w:b/>
          <w:sz w:val="30"/>
          <w:szCs w:val="30"/>
        </w:rPr>
      </w:pPr>
    </w:p>
    <w:tbl>
      <w:tblPr>
        <w:tblStyle w:val="8"/>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jc w:val="distribute"/>
              <w:rPr>
                <w:rFonts w:ascii="Times New Roman" w:hAnsi="Times New Roman" w:eastAsia="楷体_GB2312" w:cs="Times New Roman"/>
                <w:b/>
                <w:sz w:val="30"/>
                <w:szCs w:val="30"/>
              </w:rPr>
            </w:pPr>
            <w:r>
              <w:rPr>
                <w:rFonts w:ascii="Times New Roman" w:hAnsi="Times New Roman" w:eastAsia="楷体_GB2312" w:cs="Times New Roman"/>
                <w:b/>
                <w:sz w:val="30"/>
                <w:szCs w:val="30"/>
              </w:rPr>
              <w:t>授权学科</w:t>
            </w:r>
          </w:p>
          <w:p>
            <w:pPr>
              <w:jc w:val="distribute"/>
              <w:rPr>
                <w:rFonts w:ascii="Times New Roman" w:hAnsi="Times New Roman" w:eastAsia="楷体_GB2312" w:cs="Times New Roman"/>
                <w:b/>
                <w:sz w:val="30"/>
                <w:szCs w:val="30"/>
              </w:rPr>
            </w:pPr>
            <w:r>
              <w:rPr>
                <w:rFonts w:ascii="Times New Roman" w:hAnsi="Times New Roman" w:eastAsia="楷体_GB2312" w:cs="Times New Roman"/>
                <w:b/>
                <w:sz w:val="30"/>
                <w:szCs w:val="30"/>
              </w:rPr>
              <w:t>（类别）</w:t>
            </w:r>
          </w:p>
        </w:tc>
        <w:tc>
          <w:tcPr>
            <w:tcW w:w="2880" w:type="dxa"/>
            <w:tcBorders>
              <w:bottom w:val="single" w:color="auto" w:sz="4" w:space="0"/>
            </w:tcBorders>
            <w:vAlign w:val="center"/>
          </w:tcPr>
          <w:p>
            <w:pPr>
              <w:rPr>
                <w:rFonts w:hint="eastAsia" w:ascii="Times New Roman" w:hAnsi="Times New Roman" w:eastAsia="楷体_GB2312" w:cs="Times New Roman"/>
                <w:b/>
                <w:sz w:val="30"/>
                <w:szCs w:val="30"/>
                <w:lang w:val="en-US" w:eastAsia="zh-CN"/>
              </w:rPr>
            </w:pPr>
            <w:r>
              <w:rPr>
                <w:rFonts w:ascii="Times New Roman" w:hAnsi="Times New Roman" w:eastAsia="楷体_GB2312" w:cs="Times New Roman"/>
                <w:b/>
                <w:sz w:val="30"/>
                <w:szCs w:val="30"/>
              </w:rPr>
              <w:t>名称：</w:t>
            </w:r>
            <w:r>
              <w:rPr>
                <w:rFonts w:hint="eastAsia" w:ascii="Times New Roman" w:hAnsi="Times New Roman" w:eastAsia="楷体_GB2312" w:cs="Times New Roman"/>
                <w:b/>
                <w:sz w:val="30"/>
                <w:szCs w:val="30"/>
                <w:lang w:val="en-US" w:eastAsia="zh-CN"/>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jc w:val="center"/>
              <w:rPr>
                <w:rFonts w:ascii="Times New Roman" w:hAnsi="Times New Roman" w:eastAsia="楷体_GB2312" w:cs="Times New Roman"/>
                <w:b/>
                <w:sz w:val="30"/>
                <w:szCs w:val="30"/>
              </w:rPr>
            </w:pPr>
          </w:p>
        </w:tc>
        <w:tc>
          <w:tcPr>
            <w:tcW w:w="2880" w:type="dxa"/>
            <w:tcBorders>
              <w:top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0"/>
                <w:szCs w:val="30"/>
              </w:rPr>
              <w:t>代码：</w:t>
            </w:r>
            <w:r>
              <w:rPr>
                <w:rFonts w:hint="eastAsia" w:ascii="Times New Roman" w:hAnsi="Times New Roman" w:eastAsia="楷体_GB2312" w:cs="Times New Roman"/>
                <w:b/>
                <w:sz w:val="30"/>
                <w:szCs w:val="30"/>
                <w:lang w:val="en-US" w:eastAsia="zh-CN"/>
              </w:rPr>
              <w:t>0502</w:t>
            </w:r>
          </w:p>
        </w:tc>
      </w:tr>
    </w:tbl>
    <w:p>
      <w:pPr>
        <w:spacing w:line="720" w:lineRule="auto"/>
        <w:jc w:val="center"/>
        <w:rPr>
          <w:rFonts w:ascii="Times New Roman" w:hAnsi="Times New Roman" w:eastAsia="楷体_GB2312" w:cs="Times New Roman"/>
          <w:b/>
          <w:sz w:val="30"/>
          <w:szCs w:val="30"/>
        </w:rPr>
      </w:pPr>
    </w:p>
    <w:tbl>
      <w:tblPr>
        <w:tblStyle w:val="8"/>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jc w:val="distribute"/>
              <w:rPr>
                <w:rFonts w:ascii="Times New Roman" w:hAnsi="Times New Roman" w:eastAsia="楷体_GB2312" w:cs="Times New Roman"/>
                <w:b/>
                <w:sz w:val="30"/>
                <w:szCs w:val="30"/>
              </w:rPr>
            </w:pPr>
            <w:r>
              <w:rPr>
                <w:rFonts w:ascii="Times New Roman" w:hAnsi="Times New Roman" w:eastAsia="楷体_GB2312" w:cs="Times New Roman"/>
                <w:b/>
                <w:sz w:val="30"/>
                <w:szCs w:val="30"/>
              </w:rPr>
              <w:t>授权类型</w:t>
            </w:r>
          </w:p>
          <w:p>
            <w:pPr>
              <w:jc w:val="distribute"/>
              <w:rPr>
                <w:rFonts w:ascii="Times New Roman" w:hAnsi="Times New Roman" w:eastAsia="楷体_GB2312" w:cs="Times New Roman"/>
                <w:b/>
                <w:sz w:val="30"/>
                <w:szCs w:val="30"/>
              </w:rPr>
            </w:pPr>
          </w:p>
        </w:tc>
        <w:tc>
          <w:tcPr>
            <w:tcW w:w="2880" w:type="dxa"/>
            <w:tcBorders>
              <w:bottom w:val="single" w:color="auto" w:sz="4" w:space="0"/>
            </w:tcBorders>
            <w:vAlign w:val="center"/>
          </w:tcPr>
          <w:p>
            <w:pPr>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学术学位</w:t>
            </w:r>
            <w:r>
              <w:rPr>
                <w:rFonts w:hint="eastAsia" w:ascii="Times New Roman" w:hAnsi="Times New Roman" w:eastAsia="楷体_GB2312" w:cs="Times New Roman"/>
                <w:b/>
                <w:sz w:val="32"/>
                <w:szCs w:val="32"/>
              </w:rPr>
              <w:sym w:font="Wingdings 2" w:char="0052"/>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jc w:val="center"/>
              <w:rPr>
                <w:rFonts w:ascii="Times New Roman" w:hAnsi="Times New Roman" w:eastAsia="楷体_GB2312" w:cs="Times New Roman"/>
                <w:b/>
                <w:sz w:val="30"/>
                <w:szCs w:val="30"/>
              </w:rPr>
            </w:pPr>
          </w:p>
        </w:tc>
        <w:tc>
          <w:tcPr>
            <w:tcW w:w="2880" w:type="dxa"/>
            <w:tcBorders>
              <w:top w:val="single" w:color="auto" w:sz="4" w:space="0"/>
            </w:tcBorders>
            <w:vAlign w:val="center"/>
          </w:tcPr>
          <w:p>
            <w:pPr>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专业学位□</w:t>
            </w:r>
          </w:p>
        </w:tc>
      </w:tr>
    </w:tbl>
    <w:p>
      <w:pPr>
        <w:spacing w:line="600" w:lineRule="exact"/>
        <w:ind w:firstLine="640" w:firstLineChars="200"/>
        <w:outlineLvl w:val="2"/>
        <w:rPr>
          <w:rFonts w:ascii="黑体" w:hAnsi="黑体" w:eastAsia="黑体" w:cs="Times New Roman"/>
          <w:color w:val="000000"/>
          <w:sz w:val="32"/>
          <w:szCs w:val="32"/>
        </w:rPr>
      </w:pPr>
    </w:p>
    <w:p>
      <w:pPr>
        <w:rPr>
          <w:rFonts w:ascii="Calibri" w:hAnsi="Calibri" w:eastAsia="方正仿宋简体" w:cs="Times New Roman"/>
          <w:sz w:val="32"/>
          <w:szCs w:val="24"/>
        </w:rPr>
      </w:pPr>
    </w:p>
    <w:tbl>
      <w:tblPr>
        <w:tblStyle w:val="8"/>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jc w:val="distribute"/>
              <w:rPr>
                <w:rFonts w:ascii="Times New Roman" w:hAnsi="Times New Roman" w:eastAsia="楷体_GB2312" w:cs="Times New Roman"/>
                <w:b/>
                <w:sz w:val="30"/>
                <w:szCs w:val="30"/>
              </w:rPr>
            </w:pPr>
            <w:r>
              <w:rPr>
                <w:rFonts w:ascii="Times New Roman" w:hAnsi="Times New Roman" w:eastAsia="楷体_GB2312" w:cs="Times New Roman"/>
                <w:b/>
                <w:sz w:val="30"/>
                <w:szCs w:val="30"/>
              </w:rPr>
              <w:t>授权级别</w:t>
            </w:r>
          </w:p>
        </w:tc>
        <w:tc>
          <w:tcPr>
            <w:tcW w:w="2880" w:type="dxa"/>
            <w:tcBorders>
              <w:bottom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0"/>
                <w:szCs w:val="30"/>
              </w:rPr>
              <w:t>□  博  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jc w:val="center"/>
              <w:rPr>
                <w:rFonts w:ascii="Times New Roman" w:hAnsi="Times New Roman" w:eastAsia="楷体_GB2312" w:cs="Times New Roman"/>
                <w:b/>
                <w:sz w:val="30"/>
                <w:szCs w:val="30"/>
              </w:rPr>
            </w:pPr>
          </w:p>
        </w:tc>
        <w:tc>
          <w:tcPr>
            <w:tcW w:w="2880" w:type="dxa"/>
            <w:tcBorders>
              <w:top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2"/>
                <w:szCs w:val="32"/>
              </w:rPr>
              <w:sym w:font="Wingdings 2" w:char="0052"/>
            </w:r>
            <w:r>
              <w:rPr>
                <w:rFonts w:ascii="Times New Roman" w:hAnsi="Times New Roman" w:eastAsia="楷体_GB2312" w:cs="Times New Roman"/>
                <w:b/>
                <w:sz w:val="32"/>
                <w:szCs w:val="32"/>
              </w:rPr>
              <w:t xml:space="preserve"> </w:t>
            </w:r>
            <w:r>
              <w:rPr>
                <w:rFonts w:ascii="Times New Roman" w:hAnsi="Times New Roman" w:eastAsia="楷体_GB2312" w:cs="Times New Roman"/>
                <w:b/>
                <w:sz w:val="30"/>
                <w:szCs w:val="30"/>
              </w:rPr>
              <w:t xml:space="preserve"> 硕  士</w:t>
            </w:r>
          </w:p>
        </w:tc>
      </w:tr>
    </w:tbl>
    <w:p>
      <w:pPr>
        <w:rPr>
          <w:rFonts w:ascii="Times New Roman" w:hAnsi="Times New Roman" w:eastAsia="楷体_GB2312" w:cs="Times New Roman"/>
          <w:b/>
          <w:sz w:val="30"/>
          <w:szCs w:val="30"/>
        </w:rPr>
      </w:pPr>
    </w:p>
    <w:p>
      <w:pPr>
        <w:jc w:val="center"/>
        <w:rPr>
          <w:rFonts w:ascii="Times New Roman" w:hAnsi="Times New Roman" w:eastAsia="楷体_GB2312" w:cs="Times New Roman"/>
          <w:b/>
          <w:sz w:val="30"/>
          <w:szCs w:val="30"/>
        </w:rPr>
      </w:pPr>
    </w:p>
    <w:p>
      <w:pPr>
        <w:jc w:val="center"/>
        <w:rPr>
          <w:rFonts w:ascii="Times New Roman" w:hAnsi="Times New Roman" w:eastAsia="楷体_GB2312" w:cs="Times New Roman"/>
          <w:b/>
          <w:sz w:val="30"/>
          <w:szCs w:val="30"/>
        </w:rPr>
      </w:pPr>
      <w:r>
        <w:rPr>
          <w:rFonts w:ascii="Times New Roman" w:hAnsi="Times New Roman" w:eastAsia="楷体_GB2312" w:cs="Times New Roman"/>
          <w:b/>
          <w:sz w:val="30"/>
          <w:szCs w:val="30"/>
        </w:rPr>
        <w:t>20</w:t>
      </w:r>
      <w:r>
        <w:rPr>
          <w:rFonts w:hint="eastAsia" w:ascii="Times New Roman" w:hAnsi="Times New Roman" w:eastAsia="楷体_GB2312" w:cs="Times New Roman"/>
          <w:b/>
          <w:sz w:val="30"/>
          <w:szCs w:val="30"/>
        </w:rPr>
        <w:t>2</w:t>
      </w:r>
      <w:r>
        <w:rPr>
          <w:rFonts w:hint="eastAsia" w:ascii="Times New Roman" w:hAnsi="Times New Roman" w:eastAsia="楷体_GB2312" w:cs="Times New Roman"/>
          <w:b/>
          <w:sz w:val="30"/>
          <w:szCs w:val="30"/>
          <w:lang w:val="en-US" w:eastAsia="zh-CN"/>
        </w:rPr>
        <w:t>2</w:t>
      </w:r>
      <w:r>
        <w:rPr>
          <w:rFonts w:ascii="Times New Roman" w:hAnsi="Times New Roman" w:eastAsia="楷体_GB2312" w:cs="Times New Roman"/>
          <w:b/>
          <w:sz w:val="30"/>
          <w:szCs w:val="30"/>
        </w:rPr>
        <w:t xml:space="preserve">年 </w:t>
      </w:r>
      <w:r>
        <w:rPr>
          <w:rFonts w:hint="eastAsia" w:ascii="Times New Roman" w:hAnsi="Times New Roman" w:eastAsia="楷体_GB2312" w:cs="Times New Roman"/>
          <w:b/>
          <w:sz w:val="30"/>
          <w:szCs w:val="30"/>
          <w:lang w:val="en-US" w:eastAsia="zh-CN"/>
        </w:rPr>
        <w:t>1</w:t>
      </w:r>
      <w:r>
        <w:rPr>
          <w:rFonts w:ascii="Times New Roman" w:hAnsi="Times New Roman" w:eastAsia="楷体_GB2312" w:cs="Times New Roman"/>
          <w:b/>
          <w:sz w:val="30"/>
          <w:szCs w:val="30"/>
        </w:rPr>
        <w:t xml:space="preserve"> 月 </w:t>
      </w:r>
      <w:r>
        <w:rPr>
          <w:rFonts w:hint="eastAsia" w:ascii="Times New Roman" w:hAnsi="Times New Roman" w:eastAsia="楷体_GB2312" w:cs="Times New Roman"/>
          <w:b/>
          <w:sz w:val="30"/>
          <w:szCs w:val="30"/>
          <w:lang w:val="en-US" w:eastAsia="zh-CN"/>
        </w:rPr>
        <w:t>5</w:t>
      </w:r>
      <w:r>
        <w:rPr>
          <w:rFonts w:ascii="Times New Roman" w:hAnsi="Times New Roman" w:eastAsia="楷体_GB2312" w:cs="Times New Roman"/>
          <w:b/>
          <w:sz w:val="30"/>
          <w:szCs w:val="30"/>
        </w:rPr>
        <w:t xml:space="preserve"> 日</w:t>
      </w:r>
    </w:p>
    <w:p>
      <w:pPr>
        <w:spacing w:after="156" w:afterLines="50" w:line="400" w:lineRule="exact"/>
        <w:jc w:val="center"/>
        <w:rPr>
          <w:rFonts w:ascii="Times New Roman" w:hAnsi="Times New Roman" w:eastAsia="楷体_GB2312" w:cs="Times New Roman"/>
          <w:b/>
          <w:szCs w:val="32"/>
        </w:rPr>
        <w:sectPr>
          <w:footerReference r:id="rId3" w:type="default"/>
          <w:pgSz w:w="11906" w:h="16838"/>
          <w:pgMar w:top="1440" w:right="1800" w:bottom="1440" w:left="1800" w:header="851" w:footer="992" w:gutter="0"/>
          <w:pgNumType w:start="1"/>
          <w:cols w:space="425" w:num="1"/>
          <w:docGrid w:type="lines" w:linePitch="312" w:charSpace="0"/>
        </w:sectPr>
      </w:pPr>
    </w:p>
    <w:p>
      <w:pPr>
        <w:spacing w:after="156" w:afterLines="50" w:line="400" w:lineRule="exact"/>
        <w:jc w:val="center"/>
        <w:rPr>
          <w:rFonts w:ascii="Times New Roman" w:hAnsi="Times New Roman" w:eastAsia="楷体_GB2312" w:cs="Times New Roman"/>
          <w:b/>
          <w:sz w:val="32"/>
          <w:szCs w:val="32"/>
        </w:rPr>
      </w:pPr>
    </w:p>
    <w:p>
      <w:pPr>
        <w:spacing w:after="156" w:afterLines="50" w:line="580" w:lineRule="exact"/>
        <w:jc w:val="center"/>
        <w:rPr>
          <w:rFonts w:ascii="黑体" w:hAnsi="黑体" w:eastAsia="黑体" w:cs="Times New Roman"/>
          <w:b/>
          <w:sz w:val="44"/>
          <w:szCs w:val="44"/>
        </w:rPr>
      </w:pPr>
      <w:r>
        <w:rPr>
          <w:rFonts w:hint="eastAsia" w:ascii="黑体" w:hAnsi="黑体" w:eastAsia="黑体" w:cs="Times New Roman"/>
          <w:b/>
          <w:sz w:val="44"/>
          <w:szCs w:val="44"/>
        </w:rPr>
        <w:t>特别说明</w:t>
      </w:r>
    </w:p>
    <w:p>
      <w:pPr>
        <w:spacing w:after="156" w:afterLines="50" w:line="400" w:lineRule="exact"/>
        <w:jc w:val="center"/>
        <w:rPr>
          <w:rFonts w:ascii="Times New Roman" w:hAnsi="Times New Roman" w:eastAsia="楷体_GB2312" w:cs="Times New Roman"/>
          <w:b/>
          <w:sz w:val="32"/>
          <w:szCs w:val="32"/>
          <w:highlight w:val="yellow"/>
        </w:rPr>
      </w:pPr>
    </w:p>
    <w:p>
      <w:pPr>
        <w:spacing w:after="156" w:afterLines="50" w:line="400" w:lineRule="exact"/>
        <w:jc w:val="center"/>
        <w:rPr>
          <w:rFonts w:ascii="Times New Roman" w:hAnsi="Times New Roman" w:eastAsia="楷体_GB2312" w:cs="Times New Roman"/>
          <w:b/>
          <w:sz w:val="32"/>
          <w:szCs w:val="32"/>
          <w:highlight w:val="yellow"/>
        </w:rPr>
      </w:pPr>
      <w:r>
        <w:rPr>
          <w:rFonts w:hint="eastAsia" w:ascii="Times New Roman" w:hAnsi="Times New Roman" w:eastAsia="楷体_GB2312" w:cs="Times New Roman"/>
          <w:b/>
          <w:sz w:val="32"/>
          <w:szCs w:val="32"/>
          <w:highlight w:val="yellow"/>
        </w:rPr>
        <w:t>【纸质版提交时需要完成本页、平台提交时删除本页】</w:t>
      </w:r>
    </w:p>
    <w:p>
      <w:pPr>
        <w:spacing w:line="600" w:lineRule="exact"/>
        <w:ind w:firstLine="640" w:firstLineChars="200"/>
        <w:outlineLvl w:val="2"/>
        <w:rPr>
          <w:rFonts w:ascii="黑体" w:hAnsi="黑体" w:eastAsia="黑体" w:cs="Times New Roman"/>
          <w:color w:val="000000"/>
          <w:sz w:val="32"/>
          <w:szCs w:val="32"/>
          <w:highlight w:val="yellow"/>
        </w:rPr>
      </w:pPr>
    </w:p>
    <w:p>
      <w:pPr>
        <w:spacing w:after="156" w:afterLines="50" w:line="400"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本《学位授权点建设年度报告》由学位点领衔人</w:t>
      </w:r>
      <w:r>
        <w:rPr>
          <w:rFonts w:hint="eastAsia" w:ascii="Times New Roman" w:hAnsi="Times New Roman" w:eastAsia="楷体_GB2312" w:cs="Times New Roman"/>
          <w:b/>
          <w:sz w:val="32"/>
          <w:szCs w:val="32"/>
          <w:u w:val="single"/>
        </w:rPr>
        <w:t xml:space="preserve"> </w:t>
      </w:r>
      <w:r>
        <w:rPr>
          <w:rFonts w:hint="eastAsia" w:ascii="Times New Roman" w:hAnsi="Times New Roman" w:eastAsia="楷体_GB2312" w:cs="Times New Roman"/>
          <w:b/>
          <w:sz w:val="32"/>
          <w:szCs w:val="32"/>
          <w:u w:val="single"/>
          <w:lang w:val="en-US" w:eastAsia="zh-CN"/>
        </w:rPr>
        <w:t xml:space="preserve">     </w:t>
      </w:r>
      <w:r>
        <w:rPr>
          <w:rFonts w:hint="eastAsia" w:ascii="Times New Roman" w:hAnsi="Times New Roman" w:eastAsia="楷体_GB2312" w:cs="Times New Roman"/>
          <w:b/>
          <w:sz w:val="32"/>
          <w:szCs w:val="32"/>
          <w:u w:val="single"/>
        </w:rPr>
        <w:t xml:space="preserve">      </w:t>
      </w:r>
      <w:r>
        <w:rPr>
          <w:rFonts w:hint="eastAsia" w:ascii="Times New Roman" w:hAnsi="Times New Roman" w:eastAsia="楷体_GB2312" w:cs="Times New Roman"/>
          <w:b/>
          <w:sz w:val="32"/>
          <w:szCs w:val="32"/>
        </w:rPr>
        <w:t xml:space="preserve">  </w:t>
      </w:r>
    </w:p>
    <w:p>
      <w:pPr>
        <w:spacing w:after="156" w:afterLines="50" w:line="400" w:lineRule="exact"/>
        <w:ind w:firstLine="643" w:firstLineChars="200"/>
        <w:jc w:val="left"/>
        <w:rPr>
          <w:rFonts w:ascii="Times New Roman" w:hAnsi="Times New Roman" w:eastAsia="楷体_GB2312" w:cs="Times New Roman"/>
          <w:b/>
          <w:sz w:val="32"/>
          <w:szCs w:val="32"/>
        </w:rPr>
      </w:pPr>
    </w:p>
    <w:p>
      <w:pPr>
        <w:spacing w:after="156" w:afterLines="50" w:line="400" w:lineRule="exact"/>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 xml:space="preserve">同志组织撰写完成，经本学位点所在学院 </w:t>
      </w:r>
      <w:r>
        <w:rPr>
          <w:rFonts w:hint="eastAsia" w:ascii="Times New Roman" w:hAnsi="Times New Roman" w:eastAsia="楷体_GB2312" w:cs="Times New Roman"/>
          <w:b/>
          <w:sz w:val="32"/>
          <w:szCs w:val="32"/>
          <w:u w:val="single"/>
        </w:rPr>
        <w:t xml:space="preserve">          </w:t>
      </w:r>
      <w:r>
        <w:rPr>
          <w:rFonts w:hint="eastAsia" w:ascii="Times New Roman" w:hAnsi="Times New Roman" w:eastAsia="楷体_GB2312" w:cs="Times New Roman"/>
          <w:b/>
          <w:sz w:val="32"/>
          <w:szCs w:val="32"/>
        </w:rPr>
        <w:t>院长</w:t>
      </w:r>
    </w:p>
    <w:p>
      <w:pPr>
        <w:spacing w:after="156" w:afterLines="50" w:line="400" w:lineRule="exact"/>
        <w:jc w:val="left"/>
        <w:rPr>
          <w:rFonts w:ascii="Times New Roman" w:hAnsi="Times New Roman" w:eastAsia="楷体_GB2312" w:cs="Times New Roman"/>
          <w:b/>
          <w:sz w:val="32"/>
          <w:szCs w:val="32"/>
        </w:rPr>
      </w:pPr>
    </w:p>
    <w:p>
      <w:pPr>
        <w:spacing w:after="156" w:afterLines="50" w:line="400" w:lineRule="exact"/>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审阅签字后，于     年     月    日提交。</w:t>
      </w:r>
    </w:p>
    <w:p>
      <w:pPr>
        <w:spacing w:after="156" w:afterLines="50" w:line="400" w:lineRule="exact"/>
        <w:jc w:val="center"/>
        <w:rPr>
          <w:rFonts w:ascii="Times New Roman" w:hAnsi="Times New Roman" w:eastAsia="楷体_GB2312" w:cs="Times New Roman"/>
          <w:b/>
          <w:sz w:val="32"/>
          <w:szCs w:val="32"/>
        </w:rPr>
      </w:pPr>
    </w:p>
    <w:p>
      <w:pPr>
        <w:spacing w:after="156" w:afterLines="50" w:line="400" w:lineRule="exact"/>
        <w:jc w:val="center"/>
        <w:rPr>
          <w:rFonts w:ascii="Times New Roman" w:hAnsi="Times New Roman" w:eastAsia="楷体_GB2312" w:cs="Times New Roman"/>
          <w:b/>
          <w:sz w:val="32"/>
          <w:szCs w:val="32"/>
        </w:rPr>
      </w:pPr>
    </w:p>
    <w:p>
      <w:pPr>
        <w:spacing w:after="156" w:afterLines="50" w:line="400" w:lineRule="exact"/>
        <w:jc w:val="center"/>
        <w:rPr>
          <w:rFonts w:ascii="Times New Roman" w:hAnsi="Times New Roman" w:eastAsia="楷体_GB2312" w:cs="Times New Roman"/>
          <w:b/>
          <w:sz w:val="32"/>
          <w:szCs w:val="32"/>
        </w:rPr>
      </w:pPr>
    </w:p>
    <w:p>
      <w:pPr>
        <w:spacing w:after="156" w:afterLines="50" w:line="400" w:lineRule="exact"/>
        <w:jc w:val="center"/>
        <w:rPr>
          <w:rFonts w:ascii="Times New Roman" w:hAnsi="Times New Roman" w:eastAsia="楷体_GB2312" w:cs="Times New Roman"/>
          <w:b/>
          <w:sz w:val="32"/>
          <w:szCs w:val="32"/>
        </w:rPr>
      </w:pPr>
    </w:p>
    <w:p>
      <w:pPr>
        <w:spacing w:after="156" w:afterLines="50" w:line="400" w:lineRule="exact"/>
        <w:jc w:val="center"/>
        <w:rPr>
          <w:rFonts w:ascii="Times New Roman" w:hAnsi="Times New Roman" w:eastAsia="楷体_GB2312" w:cs="Times New Roman"/>
          <w:b/>
          <w:sz w:val="32"/>
          <w:szCs w:val="32"/>
        </w:rPr>
      </w:pPr>
    </w:p>
    <w:p>
      <w:pPr>
        <w:spacing w:after="156" w:afterLines="50" w:line="400" w:lineRule="exact"/>
        <w:jc w:val="center"/>
        <w:rPr>
          <w:rFonts w:ascii="Times New Roman" w:hAnsi="Times New Roman" w:eastAsia="楷体_GB2312" w:cs="Times New Roman"/>
          <w:b/>
          <w:sz w:val="32"/>
          <w:szCs w:val="32"/>
        </w:rPr>
      </w:pPr>
    </w:p>
    <w:p>
      <w:pPr>
        <w:spacing w:after="156" w:afterLines="50" w:line="400" w:lineRule="exact"/>
        <w:jc w:val="center"/>
        <w:rPr>
          <w:rFonts w:ascii="Times New Roman" w:hAnsi="Times New Roman" w:eastAsia="楷体_GB2312" w:cs="Times New Roman"/>
          <w:b/>
          <w:sz w:val="32"/>
          <w:szCs w:val="32"/>
        </w:rPr>
      </w:pPr>
    </w:p>
    <w:p>
      <w:pPr>
        <w:spacing w:after="156" w:afterLines="50" w:line="400" w:lineRule="exact"/>
        <w:jc w:val="center"/>
        <w:rPr>
          <w:rFonts w:ascii="Times New Roman" w:hAnsi="Times New Roman" w:eastAsia="楷体_GB2312" w:cs="Times New Roman"/>
          <w:b/>
          <w:sz w:val="32"/>
          <w:szCs w:val="32"/>
        </w:rPr>
      </w:pPr>
    </w:p>
    <w:p>
      <w:pPr>
        <w:spacing w:after="156" w:afterLines="50" w:line="400" w:lineRule="exact"/>
        <w:jc w:val="center"/>
        <w:rPr>
          <w:rFonts w:ascii="Times New Roman" w:hAnsi="Times New Roman" w:eastAsia="楷体_GB2312" w:cs="Times New Roman"/>
          <w:b/>
          <w:sz w:val="32"/>
          <w:szCs w:val="32"/>
        </w:rPr>
      </w:pPr>
    </w:p>
    <w:p>
      <w:pPr>
        <w:spacing w:after="156" w:afterLines="50" w:line="400" w:lineRule="exact"/>
        <w:jc w:val="center"/>
        <w:rPr>
          <w:rFonts w:ascii="Times New Roman" w:hAnsi="Times New Roman" w:eastAsia="楷体_GB2312" w:cs="Times New Roman"/>
          <w:b/>
          <w:sz w:val="32"/>
          <w:szCs w:val="32"/>
        </w:rPr>
      </w:pPr>
    </w:p>
    <w:p>
      <w:pPr>
        <w:spacing w:after="156" w:afterLines="50" w:line="400" w:lineRule="exact"/>
        <w:jc w:val="center"/>
        <w:rPr>
          <w:rFonts w:ascii="Times New Roman" w:hAnsi="Times New Roman" w:eastAsia="楷体_GB2312" w:cs="Times New Roman"/>
          <w:b/>
          <w:sz w:val="32"/>
          <w:szCs w:val="32"/>
        </w:rPr>
      </w:pPr>
    </w:p>
    <w:p>
      <w:pPr>
        <w:spacing w:after="156" w:afterLines="50" w:line="400" w:lineRule="exact"/>
        <w:jc w:val="center"/>
        <w:rPr>
          <w:rFonts w:ascii="Times New Roman" w:hAnsi="Times New Roman" w:eastAsia="楷体_GB2312" w:cs="Times New Roman"/>
          <w:b/>
          <w:sz w:val="32"/>
          <w:szCs w:val="32"/>
        </w:rPr>
      </w:pPr>
    </w:p>
    <w:p>
      <w:pPr>
        <w:spacing w:after="156" w:afterLines="50" w:line="400" w:lineRule="exact"/>
        <w:jc w:val="center"/>
        <w:rPr>
          <w:rFonts w:ascii="Times New Roman" w:hAnsi="Times New Roman" w:eastAsia="楷体_GB2312" w:cs="Times New Roman"/>
          <w:b/>
          <w:sz w:val="32"/>
          <w:szCs w:val="32"/>
        </w:rPr>
      </w:pPr>
    </w:p>
    <w:p>
      <w:pPr>
        <w:spacing w:after="156" w:afterLines="50" w:line="400" w:lineRule="exact"/>
        <w:jc w:val="center"/>
        <w:rPr>
          <w:rFonts w:ascii="Times New Roman" w:hAnsi="Times New Roman" w:eastAsia="楷体_GB2312" w:cs="Times New Roman"/>
          <w:b/>
          <w:sz w:val="32"/>
          <w:szCs w:val="32"/>
        </w:rPr>
      </w:pPr>
    </w:p>
    <w:p>
      <w:pPr>
        <w:keepNext w:val="0"/>
        <w:keepLines w:val="0"/>
        <w:pageBreakBefore w:val="0"/>
        <w:kinsoku/>
        <w:wordWrap/>
        <w:overflowPunct/>
        <w:topLinePunct w:val="0"/>
        <w:autoSpaceDE/>
        <w:autoSpaceDN/>
        <w:bidi w:val="0"/>
        <w:adjustRightInd/>
        <w:snapToGrid/>
        <w:spacing w:line="520" w:lineRule="exact"/>
        <w:ind w:firstLine="560" w:firstLineChars="200"/>
        <w:jc w:val="both"/>
        <w:textAlignment w:val="auto"/>
        <w:outlineLvl w:val="9"/>
        <w:rPr>
          <w:rFonts w:hint="default" w:ascii="Times New Roman" w:hAnsi="Times New Roman" w:eastAsia="宋体"/>
          <w:lang w:val="en-US" w:eastAsia="zh-CN"/>
        </w:rPr>
      </w:pPr>
      <w:r>
        <w:rPr>
          <w:rFonts w:hint="eastAsia" w:ascii="Times New Roman" w:hAnsi="Times New Roman" w:eastAsia="宋体" w:cs="宋体"/>
          <w:sz w:val="28"/>
          <w:szCs w:val="28"/>
          <w:lang w:val="en-US" w:eastAsia="zh-CN"/>
        </w:rPr>
        <w:t>湖南农业大学外国语言文学学科于</w:t>
      </w:r>
      <w:r>
        <w:rPr>
          <w:rFonts w:hint="eastAsia" w:ascii="Times New Roman" w:hAnsi="Times New Roman" w:eastAsia="宋体" w:cs="宋体"/>
          <w:color w:val="auto"/>
          <w:kern w:val="2"/>
          <w:sz w:val="28"/>
          <w:szCs w:val="28"/>
          <w:lang w:val="en-US" w:eastAsia="zh-CN" w:bidi="ar-SA"/>
        </w:rPr>
        <w:t>2006年获得外国语言学及应用语言学硕士学位二级学科授权，历经13年建设，于2019年增列为硕士学位授权一级学科。依托本科专业有英语专业和日语专业。英语专业已列入省级一流本科专业建设点，日语专业已被省政府外事侨务办（现省委外事工作委员会）列为湖南省五大对外交流智库基地之一。建有MTI翻译中心、“湖南省日本文化研究与交流中心”、“语言学习中心”、“对外汉语教学中心”和“小语种教学中心”。现已成为学校唯一一个文学门类下的一级学科硕士学位授权点，同时也是湖南农业大学重点培育学科之一。</w:t>
      </w:r>
    </w:p>
    <w:p>
      <w:pPr>
        <w:keepNext w:val="0"/>
        <w:keepLines w:val="0"/>
        <w:pageBreakBefore w:val="0"/>
        <w:widowControl/>
        <w:kinsoku/>
        <w:wordWrap/>
        <w:overflowPunct/>
        <w:topLinePunct w:val="0"/>
        <w:autoSpaceDE/>
        <w:autoSpaceDN/>
        <w:bidi w:val="0"/>
        <w:adjustRightInd/>
        <w:snapToGrid/>
        <w:spacing w:before="157" w:beforeLines="50" w:after="157" w:afterLines="50" w:line="520" w:lineRule="exact"/>
        <w:jc w:val="both"/>
        <w:textAlignment w:val="auto"/>
        <w:outlineLvl w:val="9"/>
        <w:rPr>
          <w:rFonts w:hint="eastAsia" w:ascii="Times New Roman" w:hAnsi="Times New Roman" w:eastAsia="黑体" w:cs="黑体"/>
          <w:b/>
          <w:bCs w:val="0"/>
          <w:sz w:val="30"/>
          <w:szCs w:val="30"/>
        </w:rPr>
      </w:pPr>
      <w:r>
        <w:rPr>
          <w:rFonts w:hint="eastAsia" w:ascii="Times New Roman" w:hAnsi="Times New Roman" w:eastAsia="黑体" w:cs="黑体"/>
          <w:b/>
          <w:bCs w:val="0"/>
          <w:sz w:val="30"/>
          <w:szCs w:val="30"/>
        </w:rPr>
        <w:t>一、学位授权点基本情况</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562" w:firstLineChars="200"/>
        <w:jc w:val="both"/>
        <w:textAlignment w:val="auto"/>
        <w:outlineLvl w:val="9"/>
        <w:rPr>
          <w:rFonts w:hint="eastAsia" w:ascii="Times New Roman" w:hAnsi="Times New Roman" w:eastAsia="宋体" w:cs="宋体"/>
          <w:b/>
          <w:bCs w:val="0"/>
          <w:sz w:val="28"/>
          <w:szCs w:val="28"/>
        </w:rPr>
      </w:pPr>
      <w:r>
        <w:rPr>
          <w:rFonts w:hint="eastAsia" w:ascii="黑体" w:hAnsi="黑体" w:eastAsia="黑体" w:cs="黑体"/>
          <w:b/>
          <w:bCs w:val="0"/>
          <w:sz w:val="28"/>
          <w:szCs w:val="28"/>
          <w:lang w:val="en-US" w:eastAsia="zh-CN"/>
        </w:rPr>
        <w:t xml:space="preserve">1. </w:t>
      </w:r>
      <w:r>
        <w:rPr>
          <w:rFonts w:hint="eastAsia" w:ascii="黑体" w:hAnsi="黑体" w:eastAsia="黑体" w:cs="黑体"/>
          <w:b/>
          <w:bCs w:val="0"/>
          <w:sz w:val="28"/>
          <w:szCs w:val="28"/>
        </w:rPr>
        <w:t>培养目标</w:t>
      </w:r>
    </w:p>
    <w:p>
      <w:pPr>
        <w:keepNext w:val="0"/>
        <w:keepLines w:val="0"/>
        <w:pageBreakBefore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Times New Roman" w:hAnsi="Times New Roman" w:eastAsia="宋体" w:cs="宋体"/>
          <w:color w:val="auto"/>
          <w:kern w:val="2"/>
          <w:sz w:val="28"/>
          <w:szCs w:val="28"/>
          <w:lang w:val="en-US" w:eastAsia="zh-CN" w:bidi="ar-SA"/>
        </w:rPr>
      </w:pPr>
      <w:r>
        <w:rPr>
          <w:rFonts w:hint="eastAsia" w:ascii="Times New Roman" w:hAnsi="Times New Roman" w:eastAsia="宋体" w:cs="宋体"/>
          <w:color w:val="auto"/>
          <w:kern w:val="2"/>
          <w:sz w:val="28"/>
          <w:szCs w:val="28"/>
          <w:lang w:val="en-US" w:eastAsia="zh-CN" w:bidi="ar-SA"/>
        </w:rPr>
        <w:t>本硕士学位授权点旨在培养适应时代文化发展需求，既具备语言文学系统专业知识和较高的人文社会科学涵养，又能掌握先进原理和方法，独立从事外语教学、语言文学和文化研究，并具备良好的思想道德水平和身心健康的高素质全日制学术型硕士研究生。具体目标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default" w:ascii="Times New Roman" w:hAnsi="Times New Roman" w:eastAsia="宋体" w:cs="宋体"/>
          <w:color w:val="auto"/>
          <w:kern w:val="2"/>
          <w:sz w:val="28"/>
          <w:szCs w:val="28"/>
          <w:lang w:val="en-US" w:eastAsia="zh-CN" w:bidi="ar-SA"/>
        </w:rPr>
      </w:pPr>
      <w:r>
        <w:rPr>
          <w:rFonts w:hint="default" w:ascii="Times New Roman" w:hAnsi="Times New Roman" w:eastAsia="宋体" w:cs="宋体"/>
          <w:color w:val="auto"/>
          <w:kern w:val="2"/>
          <w:sz w:val="28"/>
          <w:szCs w:val="28"/>
          <w:lang w:val="en-US" w:eastAsia="zh-CN" w:bidi="ar-SA"/>
        </w:rPr>
        <w:t>掌握马克思主义基本原理、中国特色社会主义理论体系和习近平新时代中国特色社会主义思想，具有高尚的爱国主义情操、高度的社会责任感、强烈的事业心和良好的道德品质。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default" w:ascii="Times New Roman" w:hAnsi="Times New Roman" w:eastAsia="宋体" w:cs="宋体"/>
          <w:color w:val="auto"/>
          <w:kern w:val="2"/>
          <w:sz w:val="28"/>
          <w:szCs w:val="28"/>
          <w:lang w:val="en-US" w:eastAsia="zh-CN" w:bidi="ar-SA"/>
        </w:rPr>
      </w:pPr>
      <w:r>
        <w:rPr>
          <w:rFonts w:hint="default" w:ascii="Times New Roman" w:hAnsi="Times New Roman" w:eastAsia="宋体" w:cs="宋体"/>
          <w:color w:val="auto"/>
          <w:kern w:val="2"/>
          <w:sz w:val="28"/>
          <w:szCs w:val="28"/>
          <w:lang w:val="en-US" w:eastAsia="zh-CN" w:bidi="ar-SA"/>
        </w:rPr>
        <w:t>掌握坚实的外国语言文学基础理论和系统的专业知识，了解本学科的研究现状和发展趋势，具有严谨的学风、良好的科研习惯和独立从事科研的能力，并能熟练运用一门第二外语阅读相关书刊，拓宽文献阅读范围，提高自身知识水平。</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default" w:ascii="Times New Roman" w:hAnsi="Times New Roman" w:eastAsia="宋体" w:cs="宋体"/>
          <w:color w:val="auto"/>
          <w:kern w:val="2"/>
          <w:sz w:val="28"/>
          <w:szCs w:val="28"/>
          <w:lang w:val="en-US" w:eastAsia="zh-CN" w:bidi="ar-SA"/>
        </w:rPr>
      </w:pPr>
      <w:r>
        <w:rPr>
          <w:rFonts w:hint="default" w:ascii="Times New Roman" w:hAnsi="Times New Roman" w:eastAsia="宋体" w:cs="宋体"/>
          <w:color w:val="auto"/>
          <w:kern w:val="2"/>
          <w:sz w:val="28"/>
          <w:szCs w:val="28"/>
          <w:lang w:val="en-US" w:eastAsia="zh-CN" w:bidi="ar-SA"/>
        </w:rPr>
        <w:t>掌握科学的研究方法和技能，具备较强的语言科研和语言服务实践能力以及一定的洞察力和创新意识，并能利用计算机和互联网等手段积极进行学术研  究。能在本学科领域独立从事语言研究、语言教学以及跨文化交流和传播，或在政府和企事业单位从事对外语言文化交流尤其是涉农语言文化交流等相关工作。</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default" w:ascii="Times New Roman" w:hAnsi="Times New Roman" w:eastAsia="宋体" w:cs="宋体"/>
          <w:color w:val="auto"/>
          <w:kern w:val="2"/>
          <w:sz w:val="28"/>
          <w:szCs w:val="28"/>
          <w:lang w:val="en-US" w:eastAsia="zh-CN" w:bidi="ar-SA"/>
        </w:rPr>
      </w:pPr>
      <w:r>
        <w:rPr>
          <w:rFonts w:hint="default" w:ascii="Times New Roman" w:hAnsi="Times New Roman" w:eastAsia="宋体" w:cs="宋体"/>
          <w:color w:val="auto"/>
          <w:kern w:val="2"/>
          <w:sz w:val="28"/>
          <w:szCs w:val="28"/>
          <w:lang w:val="en-US" w:eastAsia="zh-CN" w:bidi="ar-SA"/>
        </w:rPr>
        <w:t>具有良好的学术表达和学术交流的能力，能够通过各种媒体和学术平台充分表达学术思想、发布学术成果；能够在交流的基础上吸收他人的意见、及时修正、完善自己的学术思考和研究成果，不断提升自身的学术交流能力和学术研究水平</w:t>
      </w:r>
      <w:r>
        <w:rPr>
          <w:rFonts w:hint="eastAsia" w:ascii="Times New Roman" w:hAnsi="Times New Roman" w:eastAsia="宋体" w:cs="宋体"/>
          <w:color w:val="auto"/>
          <w:kern w:val="2"/>
          <w:sz w:val="28"/>
          <w:szCs w:val="28"/>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520" w:lineRule="exact"/>
        <w:ind w:firstLine="562" w:firstLineChars="200"/>
        <w:jc w:val="both"/>
        <w:textAlignment w:val="auto"/>
        <w:outlineLvl w:val="9"/>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学位标准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560" w:firstLineChars="200"/>
        <w:jc w:val="both"/>
        <w:textAlignment w:val="auto"/>
        <w:outlineLvl w:val="9"/>
        <w:rPr>
          <w:rFonts w:hint="eastAsia" w:ascii="Times New Roman" w:hAnsi="Times New Roman" w:cs="宋体"/>
          <w:sz w:val="28"/>
          <w:szCs w:val="28"/>
          <w:lang w:val="en-US" w:eastAsia="zh-CN"/>
        </w:rPr>
      </w:pPr>
      <w:r>
        <w:rPr>
          <w:rFonts w:hint="eastAsia" w:ascii="Times New Roman" w:hAnsi="Times New Roman" w:eastAsia="宋体" w:cs="宋体"/>
          <w:color w:val="auto"/>
          <w:kern w:val="2"/>
          <w:sz w:val="28"/>
          <w:szCs w:val="28"/>
          <w:lang w:val="en-US" w:eastAsia="zh-CN" w:bidi="ar-SA"/>
        </w:rPr>
        <w:t>结合国务院学位委员会编著的《一级学科硕士学位基本要求》和学校学位授予标准的相关规定以及本学科专业实际，学位点在课程学习、学术活动、实践考核以及学位论文等环节对硕士学位授予制定了细化标准；针对学术素养、学术道德、知识结构、学术能力、科研能力等也提出了明确要求；同时，</w:t>
      </w:r>
      <w:r>
        <w:rPr>
          <w:rFonts w:hint="eastAsia" w:ascii="Times New Roman" w:hAnsi="Times New Roman" w:cs="宋体"/>
          <w:sz w:val="28"/>
          <w:szCs w:val="28"/>
          <w:lang w:val="en-US" w:eastAsia="zh-CN"/>
        </w:rPr>
        <w:t>对学位论文选题立意、基本写作技能、文本研读技能、研究方法、信息资源的使用及其方法、篇章结构、参考书目著录格式以及如何避免剽窃等方面都有明确而详尽的要求。具体要求包括：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562" w:firstLineChars="200"/>
        <w:jc w:val="both"/>
        <w:textAlignment w:val="auto"/>
        <w:outlineLvl w:val="9"/>
        <w:rPr>
          <w:rFonts w:hint="default" w:ascii="Times New Roman" w:hAnsi="Times New Roman" w:cs="宋体"/>
          <w:b/>
          <w:bCs/>
          <w:sz w:val="28"/>
          <w:szCs w:val="28"/>
          <w:lang w:val="en-US" w:eastAsia="zh-CN"/>
        </w:rPr>
      </w:pPr>
      <w:r>
        <w:rPr>
          <w:rFonts w:hint="eastAsia" w:ascii="Times New Roman" w:hAnsi="Times New Roman" w:cs="宋体"/>
          <w:b/>
          <w:bCs/>
          <w:sz w:val="28"/>
          <w:szCs w:val="28"/>
          <w:lang w:val="en-US" w:eastAsia="zh-CN"/>
        </w:rPr>
        <w:t>2.1 规范性要求</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firstLine="560" w:firstLineChars="200"/>
        <w:jc w:val="both"/>
        <w:textAlignment w:val="auto"/>
        <w:outlineLvl w:val="9"/>
        <w:rPr>
          <w:rFonts w:hint="eastAsia" w:ascii="Times New Roman" w:hAnsi="Times New Roman" w:cs="宋体"/>
          <w:sz w:val="28"/>
          <w:szCs w:val="28"/>
          <w:lang w:val="en-US" w:eastAsia="zh-CN"/>
        </w:rPr>
      </w:pPr>
      <w:r>
        <w:rPr>
          <w:rFonts w:hint="eastAsia" w:ascii="Times New Roman" w:hAnsi="Times New Roman" w:cs="宋体"/>
          <w:sz w:val="28"/>
          <w:szCs w:val="28"/>
          <w:lang w:val="en-US" w:eastAsia="zh-CN"/>
        </w:rPr>
        <w:t>学位论文必须在对国内外相关研究领域的主要研究成果有较全面了解的基础上，提出需要解决的问题和相应的研究方案。在相关理论的指导下进行定性与定量研究，方法合理，数据真实，结论正确，有一定的创新性。能体现出研究者的语言学基本知识，独立见解和科学分析与综合能力。</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firstLine="560" w:firstLineChars="200"/>
        <w:jc w:val="both"/>
        <w:textAlignment w:val="auto"/>
        <w:outlineLvl w:val="9"/>
        <w:rPr>
          <w:rFonts w:hint="eastAsia" w:ascii="Times New Roman" w:hAnsi="Times New Roman" w:cs="宋体"/>
          <w:sz w:val="28"/>
          <w:szCs w:val="28"/>
          <w:lang w:val="en-US" w:eastAsia="zh-CN"/>
        </w:rPr>
      </w:pPr>
      <w:r>
        <w:rPr>
          <w:rFonts w:hint="eastAsia" w:ascii="Times New Roman" w:hAnsi="Times New Roman" w:cs="宋体"/>
          <w:sz w:val="28"/>
          <w:szCs w:val="28"/>
          <w:lang w:val="en-US" w:eastAsia="zh-CN"/>
        </w:rPr>
        <w:t>学位论文研究的时间不少于1年半。</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firstLine="560" w:firstLineChars="200"/>
        <w:jc w:val="both"/>
        <w:textAlignment w:val="auto"/>
        <w:outlineLvl w:val="9"/>
        <w:rPr>
          <w:rFonts w:hint="eastAsia" w:ascii="Times New Roman" w:hAnsi="Times New Roman" w:cs="宋体"/>
          <w:sz w:val="28"/>
          <w:szCs w:val="28"/>
          <w:lang w:val="en-US" w:eastAsia="zh-CN"/>
        </w:rPr>
      </w:pPr>
      <w:r>
        <w:rPr>
          <w:rFonts w:hint="eastAsia" w:ascii="Times New Roman" w:hAnsi="Times New Roman" w:cs="宋体"/>
          <w:sz w:val="28"/>
          <w:szCs w:val="28"/>
          <w:lang w:val="en-US" w:eastAsia="zh-CN"/>
        </w:rPr>
        <w:t>学位论文用英语撰写，严格按照国际通行的学术论文规范与标准，参照《湖南农业大学研究生学位论文格式的统一要求》以及《湖南农业大学人文与外语学院硕士学位论文格式》撰写要求。包含中英文摘要、目录、导论、正文、结论、注释、参考文献和致谢等基本内容；论文的引文合理、注释规范，不会引发知识产权纠纷；术语使用规范，其中有关国别、法典、专业术语等的表述符合通用的使用方法，不会产生歧义、引人误解。</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firstLine="560" w:firstLineChars="200"/>
        <w:jc w:val="both"/>
        <w:textAlignment w:val="auto"/>
        <w:outlineLvl w:val="9"/>
        <w:rPr>
          <w:rFonts w:hint="eastAsia" w:ascii="Times New Roman" w:hAnsi="Times New Roman" w:eastAsia="宋体" w:cs="宋体"/>
          <w:sz w:val="28"/>
          <w:szCs w:val="28"/>
          <w:lang w:val="en-US" w:eastAsia="zh-CN"/>
        </w:rPr>
      </w:pPr>
      <w:r>
        <w:rPr>
          <w:rFonts w:hint="eastAsia" w:ascii="Times New Roman" w:hAnsi="Times New Roman" w:cs="宋体"/>
          <w:sz w:val="28"/>
          <w:szCs w:val="28"/>
          <w:lang w:val="en-US" w:eastAsia="zh-CN"/>
        </w:rPr>
        <w:t>字数不能少于4万字。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562" w:firstLineChars="200"/>
        <w:jc w:val="both"/>
        <w:textAlignment w:val="auto"/>
        <w:outlineLvl w:val="9"/>
        <w:rPr>
          <w:rFonts w:hint="default" w:ascii="Times New Roman" w:hAnsi="Times New Roman" w:cs="宋体"/>
          <w:b/>
          <w:bCs/>
          <w:sz w:val="28"/>
          <w:szCs w:val="28"/>
          <w:lang w:val="en-US" w:eastAsia="zh-CN"/>
        </w:rPr>
      </w:pPr>
      <w:r>
        <w:rPr>
          <w:rFonts w:hint="eastAsia" w:ascii="Times New Roman" w:hAnsi="Times New Roman" w:cs="宋体"/>
          <w:b/>
          <w:bCs/>
          <w:sz w:val="28"/>
          <w:szCs w:val="28"/>
          <w:lang w:val="en-US" w:eastAsia="zh-CN"/>
        </w:rPr>
        <w:t>2.2 质量要求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560" w:firstLineChars="200"/>
        <w:jc w:val="both"/>
        <w:textAlignment w:val="auto"/>
        <w:outlineLvl w:val="9"/>
        <w:rPr>
          <w:rFonts w:hint="eastAsia" w:ascii="Times New Roman" w:hAnsi="Times New Roman" w:cs="宋体"/>
          <w:sz w:val="28"/>
          <w:szCs w:val="28"/>
          <w:lang w:val="en-US" w:eastAsia="zh-CN"/>
        </w:rPr>
      </w:pPr>
      <w:r>
        <w:rPr>
          <w:rFonts w:hint="eastAsia" w:ascii="Times New Roman" w:hAnsi="Times New Roman" w:cs="宋体"/>
          <w:sz w:val="28"/>
          <w:szCs w:val="28"/>
          <w:lang w:val="en-US" w:eastAsia="zh-CN"/>
        </w:rPr>
        <w:t>学位论文必须由硕士生独立完成，具有一定的创新性、系统性、科学性。论文的选题、研究方法和研究结论在理论或者实践中有其独到之处，如提出了新命题、新角度、新方法、新材料等，较好地解决本专业理论或者实践中的某一具体语言问题。基础理论研究论文要求观点明确，论据可靠；应用研究论文要具有可操作性。并达到文学硕士学位的基本要求，具体如下：</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firstLine="560" w:firstLineChars="200"/>
        <w:jc w:val="both"/>
        <w:textAlignment w:val="auto"/>
        <w:outlineLvl w:val="9"/>
        <w:rPr>
          <w:rFonts w:hint="eastAsia" w:ascii="Times New Roman" w:hAnsi="Times New Roman" w:cs="宋体"/>
          <w:sz w:val="28"/>
          <w:szCs w:val="28"/>
          <w:lang w:val="en-US" w:eastAsia="zh-CN"/>
        </w:rPr>
      </w:pPr>
      <w:r>
        <w:rPr>
          <w:rFonts w:hint="eastAsia" w:ascii="Times New Roman" w:hAnsi="Times New Roman" w:cs="宋体"/>
          <w:sz w:val="28"/>
          <w:szCs w:val="28"/>
          <w:lang w:val="en-US" w:eastAsia="zh-CN"/>
        </w:rPr>
        <w:t>论文选题适当，具有一定的理论价值或实践价值，反映外语专业领域的国内外学术动态和最新成果，研究目标明确，综合能力较强；</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firstLine="560" w:firstLineChars="200"/>
        <w:jc w:val="both"/>
        <w:textAlignment w:val="auto"/>
        <w:outlineLvl w:val="9"/>
        <w:rPr>
          <w:rFonts w:hint="eastAsia" w:ascii="Times New Roman" w:hAnsi="Times New Roman" w:cs="宋体"/>
          <w:sz w:val="28"/>
          <w:szCs w:val="28"/>
          <w:lang w:val="en-US" w:eastAsia="zh-CN"/>
        </w:rPr>
      </w:pPr>
      <w:r>
        <w:rPr>
          <w:rFonts w:hint="eastAsia" w:ascii="Times New Roman" w:hAnsi="Times New Roman" w:cs="宋体"/>
          <w:sz w:val="28"/>
          <w:szCs w:val="28"/>
          <w:lang w:val="en-US" w:eastAsia="zh-CN"/>
        </w:rPr>
        <w:t>论文所依据的外语专业基础理论知识正确，研究思路和方法可行性强，数据真实可靠；</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firstLine="560" w:firstLineChars="200"/>
        <w:jc w:val="both"/>
        <w:textAlignment w:val="auto"/>
        <w:outlineLvl w:val="9"/>
        <w:rPr>
          <w:rFonts w:hint="eastAsia" w:ascii="Times New Roman" w:hAnsi="Times New Roman" w:eastAsia="宋体" w:cs="宋体"/>
          <w:sz w:val="28"/>
          <w:szCs w:val="28"/>
          <w:lang w:val="en-US" w:eastAsia="zh-CN"/>
        </w:rPr>
      </w:pPr>
      <w:r>
        <w:rPr>
          <w:rFonts w:hint="eastAsia" w:ascii="Times New Roman" w:hAnsi="Times New Roman" w:cs="宋体"/>
          <w:sz w:val="28"/>
          <w:szCs w:val="28"/>
          <w:lang w:val="en-US" w:eastAsia="zh-CN"/>
        </w:rPr>
        <w:t>论文材料翔实，条理清晰，层次分明，逻辑性强，文笔流畅，文风严谨。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562" w:firstLineChars="200"/>
        <w:jc w:val="both"/>
        <w:textAlignment w:val="auto"/>
        <w:outlineLvl w:val="9"/>
        <w:rPr>
          <w:rFonts w:hint="eastAsia" w:ascii="Times New Roman" w:hAnsi="Times New Roman" w:eastAsia="宋体" w:cs="宋体"/>
          <w:b/>
          <w:bCs/>
          <w:sz w:val="28"/>
          <w:szCs w:val="28"/>
          <w:lang w:val="en-US" w:eastAsia="zh-CN"/>
        </w:rPr>
      </w:pPr>
      <w:r>
        <w:rPr>
          <w:rFonts w:hint="eastAsia" w:ascii="Times New Roman" w:hAnsi="Times New Roman" w:eastAsia="宋体" w:cs="宋体"/>
          <w:b/>
          <w:bCs/>
          <w:sz w:val="28"/>
          <w:szCs w:val="28"/>
          <w:lang w:val="en-US" w:eastAsia="zh-CN"/>
        </w:rPr>
        <w:t>2.3学术成果要求</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right="0" w:firstLine="560" w:firstLineChars="200"/>
        <w:jc w:val="both"/>
        <w:textAlignment w:val="auto"/>
        <w:outlineLvl w:val="9"/>
        <w:rPr>
          <w:rFonts w:hint="eastAsia" w:ascii="Times New Roman" w:hAnsi="Times New Roman" w:cs="宋体"/>
          <w:sz w:val="28"/>
          <w:szCs w:val="28"/>
          <w:lang w:val="en-US" w:eastAsia="zh-CN"/>
        </w:rPr>
      </w:pPr>
      <w:r>
        <w:rPr>
          <w:rFonts w:hint="eastAsia" w:ascii="Times New Roman" w:hAnsi="Times New Roman" w:cs="宋体"/>
          <w:sz w:val="28"/>
          <w:szCs w:val="28"/>
          <w:lang w:val="en-US" w:eastAsia="zh-CN"/>
        </w:rPr>
        <w:t>发表学术论文的层次和数量要求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560" w:firstLineChars="200"/>
        <w:jc w:val="both"/>
        <w:textAlignment w:val="auto"/>
        <w:outlineLvl w:val="9"/>
        <w:rPr>
          <w:rFonts w:hint="eastAsia" w:ascii="Times New Roman" w:hAnsi="Times New Roman" w:cs="宋体"/>
          <w:sz w:val="28"/>
          <w:szCs w:val="28"/>
          <w:lang w:val="en-US" w:eastAsia="zh-CN"/>
        </w:rPr>
      </w:pPr>
      <w:r>
        <w:rPr>
          <w:rFonts w:hint="eastAsia" w:ascii="Times New Roman" w:hAnsi="Times New Roman" w:cs="宋体"/>
          <w:sz w:val="28"/>
          <w:szCs w:val="28"/>
          <w:lang w:val="en-US" w:eastAsia="zh-CN"/>
        </w:rPr>
        <w:t>1）在SSCI、CSSCI、CSCD 来源期刊或北大版中文核心期刊及以上期刊发表1篇。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560" w:firstLineChars="200"/>
        <w:jc w:val="both"/>
        <w:textAlignment w:val="auto"/>
        <w:outlineLvl w:val="9"/>
        <w:rPr>
          <w:rFonts w:hint="eastAsia" w:ascii="Times New Roman" w:hAnsi="Times New Roman" w:cs="宋体"/>
          <w:sz w:val="28"/>
          <w:szCs w:val="28"/>
          <w:lang w:val="en-US" w:eastAsia="zh-CN"/>
        </w:rPr>
      </w:pPr>
      <w:r>
        <w:rPr>
          <w:rFonts w:hint="eastAsia" w:ascii="Times New Roman" w:hAnsi="Times New Roman" w:cs="宋体"/>
          <w:sz w:val="28"/>
          <w:szCs w:val="28"/>
          <w:lang w:val="en-US" w:eastAsia="zh-CN"/>
        </w:rPr>
        <w:t>2）申请提前毕业的硕士研究生发表学术论文的层次和数量要求：本学科硕士研究生申请提前毕业，在攻读学位期间至少须在SSCI、CSSCI、CSCD核心库来源期刊及以上期刊发表学术论文2篇，其中1篇须发表在CSSCI非扩展版来源期刊上。</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right="0" w:firstLine="560" w:firstLineChars="200"/>
        <w:jc w:val="both"/>
        <w:textAlignment w:val="auto"/>
        <w:outlineLvl w:val="9"/>
        <w:rPr>
          <w:rFonts w:hint="eastAsia" w:ascii="Times New Roman" w:hAnsi="Times New Roman" w:cs="宋体"/>
          <w:sz w:val="28"/>
          <w:szCs w:val="28"/>
          <w:lang w:val="en-US" w:eastAsia="zh-CN"/>
        </w:rPr>
      </w:pPr>
      <w:r>
        <w:rPr>
          <w:rFonts w:hint="eastAsia" w:ascii="Times New Roman" w:hAnsi="Times New Roman" w:cs="宋体"/>
          <w:sz w:val="28"/>
          <w:szCs w:val="28"/>
          <w:lang w:val="en-US" w:eastAsia="zh-CN"/>
        </w:rPr>
        <w:t>发表学术论文的内容、署名和时效要求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560" w:firstLineChars="200"/>
        <w:jc w:val="both"/>
        <w:textAlignment w:val="auto"/>
        <w:outlineLvl w:val="9"/>
        <w:rPr>
          <w:rFonts w:hint="eastAsia" w:ascii="Times New Roman" w:hAnsi="Times New Roman" w:cs="宋体"/>
          <w:sz w:val="28"/>
          <w:szCs w:val="28"/>
          <w:lang w:val="en-US" w:eastAsia="zh-CN"/>
        </w:rPr>
      </w:pPr>
      <w:r>
        <w:rPr>
          <w:rFonts w:hint="eastAsia" w:ascii="Times New Roman" w:hAnsi="Times New Roman" w:cs="宋体"/>
          <w:sz w:val="28"/>
          <w:szCs w:val="28"/>
          <w:lang w:val="en-US" w:eastAsia="zh-CN"/>
        </w:rPr>
        <w:t>1）研究生在攻读学位期间发表的学术论文应与学位论文研究内容密切相关。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560" w:firstLineChars="200"/>
        <w:jc w:val="both"/>
        <w:textAlignment w:val="auto"/>
        <w:outlineLvl w:val="9"/>
        <w:rPr>
          <w:rFonts w:hint="eastAsia" w:ascii="Times New Roman" w:hAnsi="Times New Roman" w:cs="宋体"/>
          <w:sz w:val="28"/>
          <w:szCs w:val="28"/>
          <w:lang w:val="en-US" w:eastAsia="zh-CN"/>
        </w:rPr>
      </w:pPr>
      <w:r>
        <w:rPr>
          <w:rFonts w:hint="eastAsia" w:ascii="Times New Roman" w:hAnsi="Times New Roman" w:cs="宋体"/>
          <w:sz w:val="28"/>
          <w:szCs w:val="28"/>
          <w:lang w:val="en-US" w:eastAsia="zh-CN"/>
        </w:rPr>
        <w:t>2）研究生在攻读学位期间发表的学术论文必须是以湖南农业大学为第一署名单位，研究生为第一作者或其导师为第一作者，研究生为第二作者。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560" w:firstLineChars="200"/>
        <w:jc w:val="both"/>
        <w:textAlignment w:val="auto"/>
        <w:outlineLvl w:val="9"/>
        <w:rPr>
          <w:rFonts w:hint="default" w:ascii="Times New Roman" w:hAnsi="Times New Roman" w:eastAsia="宋体" w:cs="宋体"/>
          <w:color w:val="auto"/>
          <w:kern w:val="2"/>
          <w:sz w:val="28"/>
          <w:szCs w:val="28"/>
          <w:lang w:val="en-US" w:eastAsia="zh-CN" w:bidi="ar-SA"/>
        </w:rPr>
      </w:pPr>
      <w:r>
        <w:rPr>
          <w:rFonts w:hint="eastAsia" w:ascii="Times New Roman" w:hAnsi="Times New Roman" w:cs="宋体"/>
          <w:sz w:val="28"/>
          <w:szCs w:val="28"/>
          <w:lang w:val="en-US" w:eastAsia="zh-CN"/>
        </w:rPr>
        <w:t>3）研究生在攻读学位期间发表的学术论文应为已正式出版（含在线发表）。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val="en-US" w:eastAsia="zh-CN"/>
        </w:rPr>
        <w:t xml:space="preserve">3. </w:t>
      </w:r>
      <w:r>
        <w:rPr>
          <w:rFonts w:hint="eastAsia" w:ascii="黑体" w:hAnsi="黑体" w:eastAsia="黑体" w:cs="黑体"/>
          <w:b/>
          <w:bCs/>
          <w:sz w:val="28"/>
          <w:szCs w:val="28"/>
        </w:rPr>
        <w:t>年度建设总体情况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Cs/>
          <w:sz w:val="28"/>
          <w:szCs w:val="28"/>
        </w:rPr>
      </w:pPr>
      <w:r>
        <w:rPr>
          <w:rFonts w:hint="eastAsia" w:ascii="宋体" w:hAnsi="宋体" w:cs="宋体"/>
          <w:bCs/>
          <w:sz w:val="28"/>
          <w:szCs w:val="28"/>
          <w:lang w:eastAsia="zh-CN"/>
        </w:rPr>
        <w:t>（</w:t>
      </w:r>
      <w:r>
        <w:rPr>
          <w:rFonts w:hint="eastAsia" w:ascii="宋体" w:hAnsi="宋体" w:cs="宋体"/>
          <w:bCs/>
          <w:sz w:val="28"/>
          <w:szCs w:val="28"/>
          <w:lang w:val="en-US" w:eastAsia="zh-CN"/>
        </w:rPr>
        <w:t>1</w:t>
      </w:r>
      <w:r>
        <w:rPr>
          <w:rFonts w:hint="eastAsia" w:ascii="宋体" w:hAnsi="宋体" w:cs="宋体"/>
          <w:bCs/>
          <w:sz w:val="28"/>
          <w:szCs w:val="28"/>
          <w:lang w:eastAsia="zh-CN"/>
        </w:rPr>
        <w:t>）</w:t>
      </w:r>
      <w:r>
        <w:rPr>
          <w:rFonts w:hint="eastAsia" w:ascii="宋体" w:hAnsi="宋体" w:eastAsia="宋体" w:cs="宋体"/>
          <w:bCs/>
          <w:sz w:val="28"/>
          <w:szCs w:val="28"/>
        </w:rPr>
        <w:t>学科方向</w:t>
      </w:r>
      <w:r>
        <w:rPr>
          <w:rFonts w:hint="eastAsia" w:ascii="宋体" w:hAnsi="宋体" w:eastAsia="宋体" w:cs="宋体"/>
          <w:bCs/>
          <w:sz w:val="28"/>
          <w:szCs w:val="28"/>
          <w:lang w:val="en-US" w:eastAsia="zh-CN"/>
        </w:rPr>
        <w:t>凝练</w:t>
      </w:r>
      <w:r>
        <w:rPr>
          <w:rFonts w:hint="eastAsia" w:ascii="宋体" w:hAnsi="宋体" w:eastAsia="宋体" w:cs="宋体"/>
          <w:bCs/>
          <w:sz w:val="28"/>
          <w:szCs w:val="28"/>
          <w:lang w:eastAsia="zh-CN"/>
        </w:rPr>
        <w:t>：</w:t>
      </w:r>
      <w:r>
        <w:rPr>
          <w:rFonts w:hint="eastAsia" w:ascii="宋体" w:hAnsi="宋体" w:eastAsia="宋体" w:cs="宋体"/>
          <w:bCs/>
          <w:sz w:val="28"/>
          <w:szCs w:val="28"/>
        </w:rPr>
        <w:t>“外国语言文学”学科链条形成。以“外国语言学及应用语言学”为基础，增设翻译学、比较文学与跨文化研究2个主干领域方向。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Cs/>
          <w:sz w:val="28"/>
          <w:szCs w:val="28"/>
        </w:rPr>
      </w:pPr>
      <w:r>
        <w:rPr>
          <w:rFonts w:hint="eastAsia" w:ascii="宋体" w:hAnsi="宋体" w:cs="宋体"/>
          <w:bCs/>
          <w:sz w:val="28"/>
          <w:szCs w:val="28"/>
          <w:lang w:eastAsia="zh-CN"/>
        </w:rPr>
        <w:t>（</w:t>
      </w:r>
      <w:r>
        <w:rPr>
          <w:rFonts w:hint="eastAsia" w:ascii="宋体" w:hAnsi="宋体" w:eastAsia="宋体" w:cs="宋体"/>
          <w:bCs/>
          <w:sz w:val="28"/>
          <w:szCs w:val="28"/>
        </w:rPr>
        <w:t>2</w:t>
      </w:r>
      <w:r>
        <w:rPr>
          <w:rFonts w:hint="eastAsia" w:ascii="宋体" w:hAnsi="宋体" w:cs="宋体"/>
          <w:bCs/>
          <w:sz w:val="28"/>
          <w:szCs w:val="28"/>
          <w:lang w:eastAsia="zh-CN"/>
        </w:rPr>
        <w:t>）</w:t>
      </w:r>
      <w:r>
        <w:rPr>
          <w:rFonts w:hint="eastAsia" w:ascii="宋体" w:hAnsi="宋体" w:eastAsia="宋体" w:cs="宋体"/>
          <w:bCs/>
          <w:sz w:val="28"/>
          <w:szCs w:val="28"/>
        </w:rPr>
        <w:t>导师队伍优化</w:t>
      </w:r>
      <w:r>
        <w:rPr>
          <w:rFonts w:hint="eastAsia" w:ascii="宋体" w:hAnsi="宋体" w:eastAsia="宋体" w:cs="宋体"/>
          <w:bCs/>
          <w:sz w:val="28"/>
          <w:szCs w:val="28"/>
          <w:lang w:eastAsia="zh-CN"/>
        </w:rPr>
        <w:t>：</w:t>
      </w:r>
      <w:r>
        <w:rPr>
          <w:rFonts w:hint="eastAsia" w:ascii="宋体" w:hAnsi="宋体" w:eastAsia="宋体" w:cs="宋体"/>
          <w:bCs/>
          <w:sz w:val="28"/>
          <w:szCs w:val="28"/>
        </w:rPr>
        <w:t>完成了新一届学科带头人、学位点领衔人和助手遴选，新增学位点领衔人和助手各1人；新增导师认定1人，学术学位校外兼职硕士导师2人，校内3人。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Cs/>
          <w:sz w:val="28"/>
          <w:szCs w:val="28"/>
          <w:lang w:eastAsia="zh-CN"/>
        </w:rPr>
      </w:pPr>
      <w:r>
        <w:rPr>
          <w:rFonts w:hint="eastAsia" w:ascii="宋体" w:hAnsi="宋体" w:cs="宋体"/>
          <w:bCs/>
          <w:sz w:val="28"/>
          <w:szCs w:val="28"/>
          <w:lang w:eastAsia="zh-CN"/>
        </w:rPr>
        <w:t>（</w:t>
      </w:r>
      <w:r>
        <w:rPr>
          <w:rFonts w:hint="eastAsia" w:ascii="宋体" w:hAnsi="宋体" w:eastAsia="宋体" w:cs="宋体"/>
          <w:bCs/>
          <w:sz w:val="28"/>
          <w:szCs w:val="28"/>
        </w:rPr>
        <w:t>3</w:t>
      </w:r>
      <w:r>
        <w:rPr>
          <w:rFonts w:hint="eastAsia" w:ascii="宋体" w:hAnsi="宋体" w:cs="宋体"/>
          <w:bCs/>
          <w:sz w:val="28"/>
          <w:szCs w:val="28"/>
          <w:lang w:eastAsia="zh-CN"/>
        </w:rPr>
        <w:t>）</w:t>
      </w:r>
      <w:r>
        <w:rPr>
          <w:rFonts w:hint="eastAsia" w:ascii="宋体" w:hAnsi="宋体" w:eastAsia="宋体" w:cs="宋体"/>
          <w:bCs/>
          <w:sz w:val="28"/>
          <w:szCs w:val="28"/>
        </w:rPr>
        <w:t>招生规模</w:t>
      </w:r>
      <w:r>
        <w:rPr>
          <w:rFonts w:hint="eastAsia" w:ascii="宋体" w:hAnsi="宋体" w:eastAsia="宋体" w:cs="宋体"/>
          <w:bCs/>
          <w:sz w:val="28"/>
          <w:szCs w:val="28"/>
          <w:lang w:val="en-US" w:eastAsia="zh-CN"/>
        </w:rPr>
        <w:t>扩</w:t>
      </w:r>
      <w:r>
        <w:rPr>
          <w:rFonts w:hint="eastAsia" w:ascii="宋体" w:hAnsi="宋体" w:eastAsia="宋体" w:cs="宋体"/>
          <w:bCs/>
          <w:sz w:val="28"/>
          <w:szCs w:val="28"/>
        </w:rPr>
        <w:t>大</w:t>
      </w:r>
      <w:r>
        <w:rPr>
          <w:rFonts w:hint="eastAsia" w:ascii="宋体" w:hAnsi="宋体" w:eastAsia="宋体" w:cs="宋体"/>
          <w:bCs/>
          <w:sz w:val="28"/>
          <w:szCs w:val="28"/>
          <w:lang w:eastAsia="zh-CN"/>
        </w:rPr>
        <w:t>：</w:t>
      </w:r>
      <w:r>
        <w:rPr>
          <w:rFonts w:hint="eastAsia" w:ascii="宋体" w:hAnsi="宋体" w:eastAsia="宋体" w:cs="宋体"/>
          <w:bCs/>
          <w:sz w:val="28"/>
          <w:szCs w:val="28"/>
        </w:rPr>
        <w:t>2021年，以“外国语言文学”一级学科招收全日制学术型硕士研究生12人，2022年研究生报考人数也创新高，</w:t>
      </w:r>
      <w:r>
        <w:rPr>
          <w:rFonts w:hint="eastAsia" w:ascii="宋体" w:hAnsi="宋体" w:cs="宋体"/>
          <w:bCs/>
          <w:sz w:val="28"/>
          <w:szCs w:val="28"/>
          <w:lang w:val="en-US" w:eastAsia="zh-CN"/>
        </w:rPr>
        <w:t>达到</w:t>
      </w:r>
      <w:r>
        <w:rPr>
          <w:rFonts w:hint="eastAsia" w:ascii="宋体" w:hAnsi="宋体" w:eastAsia="宋体" w:cs="宋体"/>
          <w:bCs/>
          <w:sz w:val="28"/>
          <w:szCs w:val="28"/>
        </w:rPr>
        <w:t>40人</w:t>
      </w:r>
      <w:r>
        <w:rPr>
          <w:rFonts w:hint="eastAsia" w:ascii="宋体" w:hAnsi="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Cs/>
          <w:sz w:val="28"/>
          <w:szCs w:val="28"/>
        </w:rPr>
      </w:pPr>
      <w:r>
        <w:rPr>
          <w:rFonts w:hint="eastAsia" w:ascii="宋体" w:hAnsi="宋体" w:cs="宋体"/>
          <w:bCs/>
          <w:sz w:val="28"/>
          <w:szCs w:val="28"/>
          <w:lang w:eastAsia="zh-CN"/>
        </w:rPr>
        <w:t>（</w:t>
      </w:r>
      <w:r>
        <w:rPr>
          <w:rFonts w:hint="eastAsia" w:ascii="宋体" w:hAnsi="宋体" w:cs="宋体"/>
          <w:bCs/>
          <w:sz w:val="28"/>
          <w:szCs w:val="28"/>
          <w:lang w:val="en-US" w:eastAsia="zh-CN"/>
        </w:rPr>
        <w:t>4</w:t>
      </w:r>
      <w:r>
        <w:rPr>
          <w:rFonts w:hint="eastAsia" w:ascii="宋体" w:hAnsi="宋体" w:cs="宋体"/>
          <w:bCs/>
          <w:sz w:val="28"/>
          <w:szCs w:val="28"/>
          <w:lang w:eastAsia="zh-CN"/>
        </w:rPr>
        <w:t>）</w:t>
      </w:r>
      <w:r>
        <w:rPr>
          <w:rFonts w:hint="eastAsia" w:ascii="宋体" w:hAnsi="宋体" w:eastAsia="宋体" w:cs="宋体"/>
          <w:bCs/>
          <w:sz w:val="28"/>
          <w:szCs w:val="28"/>
        </w:rPr>
        <w:t>学位授予率</w:t>
      </w:r>
      <w:r>
        <w:rPr>
          <w:rFonts w:hint="eastAsia" w:ascii="宋体" w:hAnsi="宋体" w:eastAsia="宋体" w:cs="宋体"/>
          <w:bCs/>
          <w:sz w:val="28"/>
          <w:szCs w:val="28"/>
          <w:lang w:eastAsia="zh-CN"/>
        </w:rPr>
        <w:t>：</w:t>
      </w:r>
      <w:r>
        <w:rPr>
          <w:rFonts w:hint="eastAsia" w:ascii="宋体" w:hAnsi="宋体" w:eastAsia="宋体" w:cs="宋体"/>
          <w:bCs/>
          <w:sz w:val="28"/>
          <w:szCs w:val="28"/>
        </w:rPr>
        <w:t>继续保持100%。10人顺利毕业（答辩成绩1人优秀，2人良好，7人合格）。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Cs/>
          <w:sz w:val="28"/>
          <w:szCs w:val="28"/>
        </w:rPr>
      </w:pPr>
      <w:r>
        <w:rPr>
          <w:rFonts w:hint="eastAsia" w:ascii="宋体" w:hAnsi="宋体" w:cs="宋体"/>
          <w:bCs/>
          <w:sz w:val="28"/>
          <w:szCs w:val="28"/>
          <w:lang w:eastAsia="zh-CN"/>
        </w:rPr>
        <w:t>（</w:t>
      </w:r>
      <w:r>
        <w:rPr>
          <w:rFonts w:hint="eastAsia" w:ascii="宋体" w:hAnsi="宋体" w:cs="宋体"/>
          <w:bCs/>
          <w:sz w:val="28"/>
          <w:szCs w:val="28"/>
          <w:lang w:val="en-US" w:eastAsia="zh-CN"/>
        </w:rPr>
        <w:t>5</w:t>
      </w:r>
      <w:r>
        <w:rPr>
          <w:rFonts w:hint="eastAsia" w:ascii="宋体" w:hAnsi="宋体" w:cs="宋体"/>
          <w:bCs/>
          <w:sz w:val="28"/>
          <w:szCs w:val="28"/>
          <w:lang w:eastAsia="zh-CN"/>
        </w:rPr>
        <w:t>）</w:t>
      </w:r>
      <w:r>
        <w:rPr>
          <w:rFonts w:hint="eastAsia" w:ascii="宋体" w:hAnsi="宋体" w:eastAsia="宋体" w:cs="宋体"/>
          <w:bCs/>
          <w:sz w:val="28"/>
          <w:szCs w:val="28"/>
          <w:lang w:val="en-US" w:eastAsia="zh-CN"/>
        </w:rPr>
        <w:t>研究生科创：</w:t>
      </w:r>
      <w:r>
        <w:rPr>
          <w:rFonts w:hint="eastAsia" w:ascii="宋体" w:hAnsi="宋体" w:eastAsia="宋体" w:cs="宋体"/>
          <w:bCs/>
          <w:sz w:val="28"/>
          <w:szCs w:val="28"/>
        </w:rPr>
        <w:t>获得湖南省学位与研究生教学改革研究项目立项1项，校级学位与研究生教学改革研究项目立项1项。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宋体" w:cs="宋体"/>
          <w:sz w:val="28"/>
          <w:szCs w:val="28"/>
          <w:lang w:val="en-US" w:eastAsia="zh-CN"/>
        </w:rPr>
      </w:pPr>
      <w:r>
        <w:rPr>
          <w:rFonts w:hint="eastAsia" w:ascii="宋体" w:hAnsi="宋体" w:cs="宋体"/>
          <w:bCs/>
          <w:sz w:val="28"/>
          <w:szCs w:val="28"/>
          <w:lang w:eastAsia="zh-CN"/>
        </w:rPr>
        <w:t>（</w:t>
      </w:r>
      <w:r>
        <w:rPr>
          <w:rFonts w:hint="eastAsia" w:ascii="宋体" w:hAnsi="宋体" w:cs="宋体"/>
          <w:bCs/>
          <w:sz w:val="28"/>
          <w:szCs w:val="28"/>
          <w:lang w:val="en-US" w:eastAsia="zh-CN"/>
        </w:rPr>
        <w:t>6</w:t>
      </w:r>
      <w:r>
        <w:rPr>
          <w:rFonts w:hint="eastAsia" w:ascii="宋体" w:hAnsi="宋体" w:cs="宋体"/>
          <w:bCs/>
          <w:sz w:val="28"/>
          <w:szCs w:val="28"/>
          <w:lang w:eastAsia="zh-CN"/>
        </w:rPr>
        <w:t>）</w:t>
      </w:r>
      <w:r>
        <w:rPr>
          <w:rFonts w:hint="eastAsia" w:ascii="宋体" w:hAnsi="宋体" w:eastAsia="宋体" w:cs="宋体"/>
          <w:bCs/>
          <w:sz w:val="28"/>
          <w:szCs w:val="28"/>
          <w:lang w:val="en-US" w:eastAsia="zh-CN"/>
        </w:rPr>
        <w:t>基地建设：新增2个教学实习实践基地，</w:t>
      </w:r>
      <w:r>
        <w:rPr>
          <w:rFonts w:hint="eastAsia" w:ascii="宋体" w:hAnsi="宋体" w:eastAsia="宋体" w:cs="宋体"/>
          <w:bCs/>
          <w:sz w:val="28"/>
          <w:szCs w:val="28"/>
        </w:rPr>
        <w:t>新</w:t>
      </w:r>
      <w:r>
        <w:rPr>
          <w:rFonts w:hint="eastAsia" w:ascii="宋体" w:hAnsi="宋体" w:eastAsia="宋体" w:cs="宋体"/>
          <w:sz w:val="28"/>
          <w:szCs w:val="28"/>
        </w:rPr>
        <w:t>签订翻译实习基地1个</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现有基地数量20余个</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snapToGrid/>
        <w:spacing w:before="157" w:beforeLines="50" w:line="520" w:lineRule="exact"/>
        <w:jc w:val="both"/>
        <w:textAlignment w:val="auto"/>
        <w:outlineLvl w:val="9"/>
        <w:rPr>
          <w:rFonts w:hint="eastAsia" w:ascii="Times New Roman" w:hAnsi="Times New Roman" w:eastAsia="黑体" w:cs="黑体"/>
          <w:b/>
          <w:bCs w:val="0"/>
          <w:sz w:val="30"/>
          <w:szCs w:val="30"/>
        </w:rPr>
      </w:pPr>
      <w:r>
        <w:rPr>
          <w:rFonts w:hint="eastAsia" w:ascii="Times New Roman" w:hAnsi="Times New Roman" w:eastAsia="黑体" w:cs="黑体"/>
          <w:b/>
          <w:bCs w:val="0"/>
          <w:sz w:val="30"/>
          <w:szCs w:val="30"/>
          <w:lang w:val="en-US" w:eastAsia="zh-CN"/>
        </w:rPr>
        <w:t>二、</w:t>
      </w:r>
      <w:r>
        <w:rPr>
          <w:rFonts w:hint="eastAsia" w:ascii="Times New Roman" w:hAnsi="Times New Roman" w:eastAsia="黑体" w:cs="黑体"/>
          <w:b/>
          <w:bCs w:val="0"/>
          <w:sz w:val="30"/>
          <w:szCs w:val="30"/>
        </w:rPr>
        <w:t xml:space="preserve">基本条件 </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line="520" w:lineRule="exact"/>
        <w:ind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培养方向</w:t>
      </w:r>
    </w:p>
    <w:p>
      <w:pPr>
        <w:pStyle w:val="2"/>
        <w:rPr>
          <w:rFonts w:hint="default" w:eastAsia="宋体"/>
          <w:lang w:val="en-US" w:eastAsia="zh-CN"/>
        </w:rPr>
      </w:pPr>
      <w:r>
        <w:rPr>
          <w:rFonts w:hint="eastAsia" w:ascii="Times New Roman" w:hAnsi="Times New Roman" w:eastAsia="宋体" w:cs="宋体"/>
          <w:b/>
          <w:bCs/>
          <w:sz w:val="28"/>
          <w:szCs w:val="28"/>
          <w:lang w:val="en-US" w:eastAsia="zh-CN"/>
        </w:rPr>
        <w:t>1.1 主要研究方向</w:t>
      </w:r>
    </w:p>
    <w:p>
      <w:pPr>
        <w:keepNext w:val="0"/>
        <w:keepLines w:val="0"/>
        <w:pageBreakBefore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Times New Roman" w:hAnsi="Times New Roman" w:eastAsia="宋体" w:cs="宋体"/>
          <w:color w:val="auto"/>
          <w:kern w:val="2"/>
          <w:sz w:val="28"/>
          <w:szCs w:val="28"/>
          <w:lang w:val="en-US" w:eastAsia="zh-CN" w:bidi="ar-SA"/>
        </w:rPr>
      </w:pPr>
      <w:r>
        <w:rPr>
          <w:rFonts w:hint="eastAsia" w:ascii="Times New Roman" w:hAnsi="Times New Roman" w:eastAsia="宋体" w:cs="宋体"/>
          <w:color w:val="auto"/>
          <w:kern w:val="2"/>
          <w:sz w:val="28"/>
          <w:szCs w:val="28"/>
          <w:lang w:val="en-US" w:eastAsia="zh-CN" w:bidi="ar-SA"/>
        </w:rPr>
        <w:t>学科研究既紧守语言文学之本，又鼓励各方向依托国家文化“走出去”战略、“一带一路”倡议和“乡村振兴”战略背景，结合湖湘特色和农学内涵展开个性化研究与实践。迄今逐步凝练成外国语言学及应用语言学、翻译学、比较文学与跨文化研究3个主要研究方向。</w:t>
      </w:r>
    </w:p>
    <w:p>
      <w:pPr>
        <w:pStyle w:val="2"/>
        <w:jc w:val="center"/>
        <w:rPr>
          <w:rFonts w:hint="default"/>
          <w:b/>
          <w:bCs/>
          <w:lang w:val="en-US" w:eastAsia="zh-CN"/>
        </w:rPr>
      </w:pPr>
      <w:r>
        <w:rPr>
          <w:rFonts w:hint="eastAsia" w:ascii="Times New Roman" w:hAnsi="Times New Roman" w:eastAsia="宋体" w:cs="宋体"/>
          <w:b/>
          <w:bCs/>
          <w:color w:val="auto"/>
          <w:kern w:val="2"/>
          <w:sz w:val="24"/>
          <w:szCs w:val="24"/>
          <w:lang w:val="en-US" w:eastAsia="zh-CN" w:bidi="ar-SA"/>
        </w:rPr>
        <w:t>表1 学科主要研究方向</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6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default"/>
                <w:vertAlign w:val="baseline"/>
                <w:lang w:val="en-US" w:eastAsia="zh-CN"/>
              </w:rPr>
            </w:pPr>
            <w:r>
              <w:rPr>
                <w:rFonts w:hint="eastAsia"/>
                <w:vertAlign w:val="baseline"/>
                <w:lang w:val="en-US" w:eastAsia="zh-CN"/>
              </w:rPr>
              <w:t>研究方向</w:t>
            </w:r>
          </w:p>
        </w:tc>
        <w:tc>
          <w:tcPr>
            <w:tcW w:w="666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vertAlign w:val="baseline"/>
                <w:lang w:val="en-US" w:eastAsia="zh-CN"/>
              </w:rPr>
            </w:pPr>
            <w:r>
              <w:rPr>
                <w:rFonts w:hint="eastAsia"/>
                <w:vertAlign w:val="baseline"/>
                <w:lang w:val="en-US" w:eastAsia="zh-CN"/>
              </w:rPr>
              <w:t>研 究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86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
                <w:bCs/>
                <w:sz w:val="21"/>
                <w:szCs w:val="21"/>
                <w:vertAlign w:val="baseline"/>
                <w:lang w:val="en-US" w:eastAsia="zh-CN"/>
              </w:rPr>
            </w:pPr>
            <w:r>
              <w:rPr>
                <w:rFonts w:hint="eastAsia" w:ascii="Times New Roman" w:hAnsi="Times New Roman" w:eastAsia="宋体" w:cs="宋体"/>
                <w:b/>
                <w:bCs/>
                <w:color w:val="auto"/>
                <w:kern w:val="2"/>
                <w:sz w:val="21"/>
                <w:szCs w:val="21"/>
                <w:lang w:val="en-US" w:eastAsia="zh-CN" w:bidi="ar-SA"/>
              </w:rPr>
              <w:t>外国语言学及应用语言学</w:t>
            </w:r>
          </w:p>
        </w:tc>
        <w:tc>
          <w:tcPr>
            <w:tcW w:w="666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主要借鉴外国语言学与应用语言学的理论、方法和相关成果，研究语言学理论及其应用。涵盖理论语言学和应用语言学诸研究领域，包括语音学、音系学、形态学、句法学、语义学、语用学、二语习得、语言测试、心理语言学、社会语言学、认知语言学、语言哲学、话语分析、词汇学、文体学、外语教学、机器翻译、语言信息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186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
                <w:bCs/>
                <w:sz w:val="21"/>
                <w:szCs w:val="21"/>
                <w:vertAlign w:val="baseline"/>
                <w:lang w:val="en-US" w:eastAsia="zh-CN"/>
              </w:rPr>
            </w:pPr>
            <w:r>
              <w:rPr>
                <w:rFonts w:hint="eastAsia" w:ascii="Times New Roman" w:hAnsi="Times New Roman" w:eastAsia="宋体" w:cs="宋体"/>
                <w:b/>
                <w:bCs/>
                <w:color w:val="auto"/>
                <w:kern w:val="2"/>
                <w:sz w:val="21"/>
                <w:szCs w:val="21"/>
                <w:lang w:val="en-US" w:eastAsia="zh-CN" w:bidi="ar-SA"/>
              </w:rPr>
              <w:t>翻译学</w:t>
            </w:r>
          </w:p>
        </w:tc>
        <w:tc>
          <w:tcPr>
            <w:tcW w:w="666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借助语言学、文学、跨文化交际、哲学、心理学、社会学和生态学等学科知识和理论方法，把握主体间翻译的内外动因，多角度、多层次地探讨译学之道，研究口笔译活动及其规律，文学与文化的跨语言、跨民族、跨国界的传播、接受和交流的规律及相关理论问题。主要内容包括翻译理论、翻译史、翻译政策、应用翻译、翻译批评、翻译教学研究、口笔译研究、机器辅助翻译研究、翻译产品、翻译人才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186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
                <w:bCs/>
                <w:sz w:val="21"/>
                <w:szCs w:val="21"/>
                <w:vertAlign w:val="baseline"/>
                <w:lang w:val="en-US" w:eastAsia="zh-CN"/>
              </w:rPr>
            </w:pPr>
            <w:r>
              <w:rPr>
                <w:rFonts w:hint="eastAsia" w:ascii="宋体" w:hAnsi="宋体" w:eastAsia="宋体" w:cs="宋体"/>
                <w:b/>
                <w:bCs/>
                <w:color w:val="auto"/>
                <w:kern w:val="2"/>
                <w:sz w:val="21"/>
                <w:szCs w:val="21"/>
                <w:lang w:val="en-US" w:eastAsia="zh-CN" w:bidi="ar-SA"/>
              </w:rPr>
              <w:t>比较文学与跨文化研究</w:t>
            </w:r>
          </w:p>
        </w:tc>
        <w:tc>
          <w:tcPr>
            <w:tcW w:w="666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以跨语言、跨国别、跨学科为导向，以世界各国文学和中外文化交流、影响与融通为对象，以中国文学和外国文学之间的互动为中心，旨在解读中外文学文本、区域和国别文化特点，将语言与地域文化、中国文化的海外传播、国别文化与文学等研究有机结合起来，揭示文学和文化的多元与融合。研究范围主要涉及中外文学关系、跨国文学比较、文学传播与接受、文学与文化翻译史、形象学和国际中国文化研究等。</w:t>
            </w:r>
          </w:p>
        </w:tc>
      </w:tr>
    </w:tbl>
    <w:p>
      <w:pPr>
        <w:pStyle w:val="2"/>
        <w:ind w:left="0" w:leftChars="0"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1.2 特色</w:t>
      </w:r>
    </w:p>
    <w:p>
      <w:pPr>
        <w:pStyle w:val="2"/>
        <w:rPr>
          <w:rFonts w:hint="eastAsia" w:ascii="Times New Roman" w:hAnsi="Times New Roman" w:eastAsia="宋体" w:cs="宋体"/>
          <w:color w:val="auto"/>
          <w:kern w:val="2"/>
          <w:sz w:val="28"/>
          <w:szCs w:val="28"/>
          <w:lang w:val="en-US" w:eastAsia="zh-CN" w:bidi="ar-SA"/>
        </w:rPr>
      </w:pPr>
      <w:r>
        <w:rPr>
          <w:rFonts w:hint="eastAsia" w:ascii="Times New Roman" w:hAnsi="Times New Roman" w:eastAsia="宋体" w:cs="宋体"/>
          <w:b/>
          <w:bCs/>
          <w:color w:val="auto"/>
          <w:kern w:val="2"/>
          <w:sz w:val="28"/>
          <w:szCs w:val="28"/>
          <w:lang w:val="en-US" w:eastAsia="zh-CN" w:bidi="ar-SA"/>
        </w:rPr>
        <w:t>（1）语言研究注重内外交叉：</w:t>
      </w:r>
      <w:r>
        <w:rPr>
          <w:rFonts w:hint="eastAsia" w:ascii="Times New Roman" w:hAnsi="Times New Roman" w:eastAsia="宋体" w:cs="宋体"/>
          <w:color w:val="auto"/>
          <w:kern w:val="2"/>
          <w:sz w:val="28"/>
          <w:szCs w:val="28"/>
          <w:lang w:val="en-US" w:eastAsia="zh-CN" w:bidi="ar-SA"/>
        </w:rPr>
        <w:t>语言学一方面侧重语言学内部的交叉，如结构、认知和形式的交叉，宏观与微观的交叉等，另一方面注重语言学与社会学、经济学、心理学以及生态学等涉农学科的融合研究；翻译研究形成了以生态翻译和伦理翻译为主的理论研究；比较文学与跨文化研究着眼于英、美、日等国别文学、区域文化以及国别文学及外国文学理论、批评与流派，中外文学典籍比较、文化传播、叙事研究特色鲜明。</w:t>
      </w:r>
    </w:p>
    <w:p>
      <w:pPr>
        <w:pStyle w:val="2"/>
        <w:rPr>
          <w:rFonts w:hint="eastAsia" w:ascii="Times New Roman" w:hAnsi="Times New Roman" w:eastAsia="宋体" w:cs="宋体"/>
          <w:color w:val="auto"/>
          <w:kern w:val="2"/>
          <w:sz w:val="28"/>
          <w:szCs w:val="28"/>
          <w:lang w:val="en-US" w:eastAsia="zh-CN" w:bidi="ar-SA"/>
        </w:rPr>
      </w:pPr>
      <w:r>
        <w:rPr>
          <w:rFonts w:hint="eastAsia" w:ascii="Times New Roman" w:hAnsi="Times New Roman" w:eastAsia="宋体" w:cs="宋体"/>
          <w:b/>
          <w:bCs/>
          <w:color w:val="auto"/>
          <w:kern w:val="2"/>
          <w:sz w:val="28"/>
          <w:szCs w:val="28"/>
          <w:lang w:val="en-US" w:eastAsia="zh-CN" w:bidi="ar-SA"/>
        </w:rPr>
        <w:t>（2）语言服务涉农个性逐渐凸显：</w:t>
      </w:r>
      <w:r>
        <w:rPr>
          <w:rFonts w:hint="eastAsia" w:ascii="Times New Roman" w:hAnsi="Times New Roman" w:eastAsia="宋体" w:cs="宋体"/>
          <w:color w:val="auto"/>
          <w:kern w:val="2"/>
          <w:sz w:val="28"/>
          <w:szCs w:val="28"/>
          <w:lang w:val="en-US" w:eastAsia="zh-CN" w:bidi="ar-SA"/>
        </w:rPr>
        <w:t>构建起“一主两翼”，即“人文←语言→涉农”的外语人才培养模式。开展农业文献笔译和国际会议口译实践，并进行农业翻译语料、术语、微语言等语料库的建设。</w:t>
      </w:r>
    </w:p>
    <w:p>
      <w:pPr>
        <w:pStyle w:val="2"/>
        <w:rPr>
          <w:rFonts w:hint="default"/>
          <w:lang w:val="en-US"/>
        </w:rPr>
      </w:pPr>
      <w:r>
        <w:rPr>
          <w:rFonts w:hint="eastAsia" w:ascii="Times New Roman" w:hAnsi="Times New Roman" w:eastAsia="宋体" w:cs="宋体"/>
          <w:b/>
          <w:bCs/>
          <w:color w:val="auto"/>
          <w:kern w:val="2"/>
          <w:sz w:val="28"/>
          <w:szCs w:val="28"/>
          <w:lang w:val="en-US" w:eastAsia="zh-CN" w:bidi="ar-SA"/>
        </w:rPr>
        <w:t>（3）平台建设功能突出：</w:t>
      </w:r>
      <w:r>
        <w:rPr>
          <w:rFonts w:hint="eastAsia" w:ascii="Times New Roman" w:hAnsi="Times New Roman" w:eastAsia="宋体" w:cs="宋体"/>
          <w:color w:val="auto"/>
          <w:kern w:val="2"/>
          <w:sz w:val="28"/>
          <w:szCs w:val="28"/>
          <w:lang w:val="en-US" w:eastAsia="zh-CN" w:bidi="ar-SA"/>
        </w:rPr>
        <w:t>依托教学、科研、实践和国际交流四大平台建设，引导学生参与语言服务实践，熟悉语言服务行业规范、服务流程和项目实务，提升语言实践能力，同时也为教学科研积累了丰富的一手材料。</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562" w:firstLineChars="200"/>
        <w:jc w:val="both"/>
        <w:textAlignment w:val="auto"/>
        <w:outlineLvl w:val="9"/>
        <w:rPr>
          <w:rFonts w:hint="eastAsia" w:ascii="黑体" w:hAnsi="黑体" w:eastAsia="黑体" w:cs="黑体"/>
          <w:sz w:val="28"/>
          <w:szCs w:val="28"/>
        </w:rPr>
      </w:pP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师资队伍</w:t>
      </w:r>
    </w:p>
    <w:p>
      <w:pPr>
        <w:pStyle w:val="2"/>
        <w:rPr>
          <w:rFonts w:hint="eastAsia" w:ascii="Times New Roman" w:hAnsi="Times New Roman" w:eastAsia="宋体" w:cs="宋体"/>
          <w:sz w:val="28"/>
          <w:szCs w:val="28"/>
          <w:lang w:eastAsia="zh-CN"/>
        </w:rPr>
      </w:pPr>
      <w:r>
        <w:rPr>
          <w:rFonts w:hint="eastAsia" w:ascii="Times New Roman" w:hAnsi="Times New Roman" w:eastAsia="宋体" w:cs="宋体"/>
          <w:sz w:val="28"/>
          <w:szCs w:val="28"/>
        </w:rPr>
        <w:t>按照学校要求，</w:t>
      </w:r>
      <w:r>
        <w:rPr>
          <w:rFonts w:hint="eastAsia" w:ascii="Times New Roman" w:hAnsi="Times New Roman" w:eastAsia="宋体" w:cs="宋体"/>
          <w:sz w:val="28"/>
          <w:szCs w:val="28"/>
          <w:lang w:val="en-US" w:eastAsia="zh-CN"/>
        </w:rPr>
        <w:t>于本年度顺利</w:t>
      </w:r>
      <w:r>
        <w:rPr>
          <w:rFonts w:hint="eastAsia" w:ascii="Times New Roman" w:hAnsi="Times New Roman" w:eastAsia="宋体" w:cs="宋体"/>
          <w:sz w:val="28"/>
          <w:szCs w:val="28"/>
        </w:rPr>
        <w:t>完成学科带头人和领衔人及助手遴选</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rPr>
        <w:t>“引进”</w:t>
      </w:r>
      <w:r>
        <w:rPr>
          <w:rFonts w:hint="eastAsia" w:ascii="Times New Roman" w:hAnsi="Times New Roman" w:eastAsia="宋体" w:cs="宋体"/>
          <w:sz w:val="28"/>
          <w:szCs w:val="28"/>
          <w:lang w:val="en-US" w:eastAsia="zh-CN"/>
        </w:rPr>
        <w:t>和</w:t>
      </w:r>
      <w:r>
        <w:rPr>
          <w:rFonts w:hint="eastAsia" w:ascii="Times New Roman" w:hAnsi="Times New Roman" w:eastAsia="宋体" w:cs="宋体"/>
          <w:sz w:val="28"/>
          <w:szCs w:val="28"/>
        </w:rPr>
        <w:t>“内培”相结合，补充博士学位教师</w:t>
      </w:r>
      <w:r>
        <w:rPr>
          <w:rFonts w:hint="eastAsia" w:ascii="Times New Roman" w:hAnsi="Times New Roman" w:eastAsia="宋体" w:cs="宋体"/>
          <w:sz w:val="28"/>
          <w:szCs w:val="28"/>
          <w:lang w:val="en-US" w:eastAsia="zh-CN"/>
        </w:rPr>
        <w:t>6</w:t>
      </w:r>
      <w:r>
        <w:rPr>
          <w:rFonts w:hint="eastAsia" w:ascii="Times New Roman" w:hAnsi="Times New Roman" w:eastAsia="宋体" w:cs="宋体"/>
          <w:sz w:val="28"/>
          <w:szCs w:val="28"/>
        </w:rPr>
        <w:t>人</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rPr>
        <w:t>在读博士</w:t>
      </w:r>
      <w:r>
        <w:rPr>
          <w:rFonts w:hint="eastAsia" w:ascii="Times New Roman" w:hAnsi="Times New Roman" w:eastAsia="宋体" w:cs="宋体"/>
          <w:sz w:val="28"/>
          <w:szCs w:val="28"/>
          <w:lang w:val="en-US" w:eastAsia="zh-CN"/>
        </w:rPr>
        <w:t>5</w:t>
      </w:r>
      <w:r>
        <w:rPr>
          <w:rFonts w:hint="eastAsia" w:ascii="Times New Roman" w:hAnsi="Times New Roman" w:eastAsia="宋体" w:cs="宋体"/>
          <w:sz w:val="28"/>
          <w:szCs w:val="28"/>
        </w:rPr>
        <w:t>人</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rPr>
        <w:t>国外访学1人、国内访学</w:t>
      </w:r>
      <w:r>
        <w:rPr>
          <w:rFonts w:hint="eastAsia" w:ascii="Times New Roman" w:hAnsi="Times New Roman" w:eastAsia="宋体" w:cs="宋体"/>
          <w:sz w:val="28"/>
          <w:szCs w:val="28"/>
          <w:lang w:val="en-US" w:eastAsia="zh-CN"/>
        </w:rPr>
        <w:t>2</w:t>
      </w:r>
      <w:r>
        <w:rPr>
          <w:rFonts w:hint="eastAsia" w:ascii="Times New Roman" w:hAnsi="Times New Roman" w:eastAsia="宋体" w:cs="宋体"/>
          <w:sz w:val="28"/>
          <w:szCs w:val="28"/>
        </w:rPr>
        <w:t>人</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rPr>
        <w:t>湖南省青年骨干教师培养对象4人</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rPr>
        <w:t>导师遴选</w:t>
      </w:r>
      <w:r>
        <w:rPr>
          <w:rFonts w:hint="eastAsia" w:ascii="Times New Roman" w:hAnsi="Times New Roman" w:eastAsia="宋体" w:cs="宋体"/>
          <w:sz w:val="28"/>
          <w:szCs w:val="28"/>
          <w:lang w:val="en-US" w:eastAsia="zh-CN"/>
        </w:rPr>
        <w:t>新增校内导师</w:t>
      </w:r>
      <w:r>
        <w:rPr>
          <w:rFonts w:hint="eastAsia" w:ascii="Times New Roman" w:hAnsi="Times New Roman" w:eastAsia="宋体" w:cs="宋体"/>
          <w:sz w:val="28"/>
          <w:szCs w:val="28"/>
        </w:rPr>
        <w:t>3人</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lang w:val="en-US" w:eastAsia="zh-CN"/>
        </w:rPr>
        <w:t>校外导师2人</w:t>
      </w:r>
      <w:r>
        <w:rPr>
          <w:rFonts w:hint="eastAsia" w:ascii="Times New Roman" w:hAnsi="Times New Roman" w:eastAsia="宋体" w:cs="宋体"/>
          <w:sz w:val="28"/>
          <w:szCs w:val="28"/>
          <w:lang w:eastAsia="zh-CN"/>
        </w:rPr>
        <w:t>。</w:t>
      </w:r>
    </w:p>
    <w:p>
      <w:pPr>
        <w:pStyle w:val="2"/>
        <w:rPr>
          <w:rFonts w:hint="eastAsia" w:ascii="Times New Roman" w:hAnsi="Times New Roman" w:eastAsia="宋体" w:cs="宋体"/>
          <w:sz w:val="28"/>
          <w:szCs w:val="28"/>
        </w:rPr>
      </w:pPr>
      <w:r>
        <w:rPr>
          <w:rFonts w:hint="eastAsia" w:ascii="Times New Roman" w:hAnsi="Times New Roman" w:eastAsia="宋体" w:cs="宋体"/>
          <w:sz w:val="28"/>
          <w:szCs w:val="28"/>
          <w:lang w:val="en-US" w:eastAsia="zh-CN"/>
        </w:rPr>
        <w:t>学位点现有专任教师32人，其中，</w:t>
      </w:r>
      <w:r>
        <w:rPr>
          <w:rFonts w:hint="eastAsia" w:ascii="Times New Roman" w:hAnsi="Times New Roman" w:eastAsia="宋体" w:cs="宋体"/>
          <w:sz w:val="28"/>
          <w:szCs w:val="28"/>
        </w:rPr>
        <w:t>校内导师</w:t>
      </w:r>
      <w:r>
        <w:rPr>
          <w:rFonts w:hint="eastAsia" w:ascii="Times New Roman" w:hAnsi="Times New Roman" w:eastAsia="宋体" w:cs="宋体"/>
          <w:sz w:val="28"/>
          <w:szCs w:val="28"/>
          <w:lang w:val="en-US" w:eastAsia="zh-CN"/>
        </w:rPr>
        <w:t>24</w:t>
      </w:r>
      <w:r>
        <w:rPr>
          <w:rFonts w:hint="eastAsia" w:ascii="Times New Roman" w:hAnsi="Times New Roman" w:eastAsia="宋体" w:cs="宋体"/>
          <w:sz w:val="28"/>
          <w:szCs w:val="28"/>
        </w:rPr>
        <w:t>人，正高5人，副高1</w:t>
      </w:r>
      <w:r>
        <w:rPr>
          <w:rFonts w:hint="eastAsia" w:ascii="Times New Roman" w:hAnsi="Times New Roman" w:eastAsia="宋体" w:cs="宋体"/>
          <w:sz w:val="28"/>
          <w:szCs w:val="28"/>
          <w:lang w:val="en-US" w:eastAsia="zh-CN"/>
        </w:rPr>
        <w:t>9</w:t>
      </w:r>
      <w:r>
        <w:rPr>
          <w:rFonts w:hint="eastAsia" w:ascii="Times New Roman" w:hAnsi="Times New Roman" w:eastAsia="宋体" w:cs="宋体"/>
          <w:sz w:val="28"/>
          <w:szCs w:val="28"/>
        </w:rPr>
        <w:t>人，博士3人，在读博士</w:t>
      </w:r>
      <w:r>
        <w:rPr>
          <w:rFonts w:hint="eastAsia" w:ascii="Times New Roman" w:hAnsi="Times New Roman" w:eastAsia="宋体" w:cs="宋体"/>
          <w:sz w:val="28"/>
          <w:szCs w:val="28"/>
          <w:lang w:val="en-US" w:eastAsia="zh-CN"/>
        </w:rPr>
        <w:t>2</w:t>
      </w:r>
      <w:r>
        <w:rPr>
          <w:rFonts w:hint="eastAsia" w:ascii="Times New Roman" w:hAnsi="Times New Roman" w:eastAsia="宋体" w:cs="宋体"/>
          <w:sz w:val="28"/>
          <w:szCs w:val="28"/>
        </w:rPr>
        <w:t>人；56岁以上5人（导师总人数2</w:t>
      </w:r>
      <w:r>
        <w:rPr>
          <w:rFonts w:hint="eastAsia" w:ascii="Times New Roman" w:hAnsi="Times New Roman" w:eastAsia="宋体" w:cs="宋体"/>
          <w:sz w:val="28"/>
          <w:szCs w:val="28"/>
          <w:lang w:val="en-US" w:eastAsia="zh-CN"/>
        </w:rPr>
        <w:t>0.83</w:t>
      </w:r>
      <w:r>
        <w:rPr>
          <w:rFonts w:hint="eastAsia" w:ascii="Times New Roman" w:hAnsi="Times New Roman" w:eastAsia="宋体" w:cs="宋体"/>
          <w:sz w:val="28"/>
          <w:szCs w:val="28"/>
        </w:rPr>
        <w:t>%），45岁以下</w:t>
      </w:r>
      <w:r>
        <w:rPr>
          <w:rFonts w:hint="eastAsia" w:ascii="Times New Roman" w:hAnsi="Times New Roman" w:eastAsia="宋体" w:cs="宋体"/>
          <w:sz w:val="28"/>
          <w:szCs w:val="28"/>
          <w:lang w:val="en-US" w:eastAsia="zh-CN"/>
        </w:rPr>
        <w:t>8</w:t>
      </w:r>
      <w:r>
        <w:rPr>
          <w:rFonts w:hint="eastAsia" w:ascii="Times New Roman" w:hAnsi="Times New Roman" w:eastAsia="宋体" w:cs="宋体"/>
          <w:sz w:val="28"/>
          <w:szCs w:val="28"/>
        </w:rPr>
        <w:t>人（导师总人数</w:t>
      </w:r>
      <w:r>
        <w:rPr>
          <w:rFonts w:hint="eastAsia" w:ascii="Times New Roman" w:hAnsi="Times New Roman" w:eastAsia="宋体" w:cs="宋体"/>
          <w:sz w:val="28"/>
          <w:szCs w:val="28"/>
          <w:lang w:val="en-US" w:eastAsia="zh-CN"/>
        </w:rPr>
        <w:t>33.33</w:t>
      </w:r>
      <w:r>
        <w:rPr>
          <w:rFonts w:hint="eastAsia" w:ascii="Times New Roman" w:hAnsi="Times New Roman" w:eastAsia="宋体" w:cs="宋体"/>
          <w:sz w:val="28"/>
          <w:szCs w:val="28"/>
        </w:rPr>
        <w:t>%）；校外兼职导师</w:t>
      </w:r>
      <w:r>
        <w:rPr>
          <w:rFonts w:hint="eastAsia" w:ascii="Times New Roman" w:hAnsi="Times New Roman" w:eastAsia="宋体" w:cs="宋体"/>
          <w:sz w:val="28"/>
          <w:szCs w:val="28"/>
          <w:lang w:val="en-US" w:eastAsia="zh-CN"/>
        </w:rPr>
        <w:t>4</w:t>
      </w:r>
      <w:r>
        <w:rPr>
          <w:rFonts w:hint="eastAsia" w:ascii="Times New Roman" w:hAnsi="Times New Roman" w:eastAsia="宋体" w:cs="宋体"/>
          <w:sz w:val="28"/>
          <w:szCs w:val="28"/>
        </w:rPr>
        <w:t>人。2人在国家级学会担任常务理事、理事，2人担任省级学会副理事长、常务理事和理事职务，4人担任过湖南省教育考试院PETS考试专家，3人担任过各类项目评审或评估专家。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rPr>
      </w:pPr>
      <w:r>
        <w:rPr>
          <w:rFonts w:hint="eastAsia" w:hAnsi="宋体"/>
          <w:b/>
          <w:sz w:val="24"/>
          <w:szCs w:val="24"/>
        </w:rPr>
        <w:t>表</w:t>
      </w:r>
      <w:r>
        <w:rPr>
          <w:rFonts w:hint="default" w:ascii="Times New Roman" w:hAnsi="Times New Roman" w:cs="Times New Roman"/>
          <w:b/>
          <w:sz w:val="24"/>
          <w:szCs w:val="24"/>
          <w:lang w:val="en-US" w:eastAsia="zh-CN"/>
        </w:rPr>
        <w:t>2</w:t>
      </w:r>
      <w:r>
        <w:rPr>
          <w:rFonts w:hint="eastAsia" w:hAnsi="宋体"/>
          <w:b/>
          <w:sz w:val="24"/>
          <w:szCs w:val="24"/>
          <w:lang w:val="en-US" w:eastAsia="zh-CN"/>
        </w:rPr>
        <w:t xml:space="preserve"> </w:t>
      </w:r>
      <w:r>
        <w:rPr>
          <w:rFonts w:hint="eastAsia"/>
          <w:b/>
          <w:sz w:val="24"/>
        </w:rPr>
        <w:t>专任教师队伍结构</w:t>
      </w:r>
    </w:p>
    <w:tbl>
      <w:tblPr>
        <w:tblStyle w:val="7"/>
        <w:tblW w:w="839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40"/>
        <w:gridCol w:w="653"/>
        <w:gridCol w:w="720"/>
        <w:gridCol w:w="751"/>
        <w:gridCol w:w="686"/>
        <w:gridCol w:w="702"/>
        <w:gridCol w:w="885"/>
        <w:gridCol w:w="936"/>
        <w:gridCol w:w="824"/>
        <w:gridCol w:w="648"/>
        <w:gridCol w:w="64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专业技术职务</w:t>
            </w:r>
          </w:p>
        </w:tc>
        <w:tc>
          <w:tcPr>
            <w:tcW w:w="6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
                <w:bCs/>
                <w:kern w:val="0"/>
                <w:sz w:val="21"/>
                <w:szCs w:val="21"/>
              </w:rPr>
            </w:pPr>
            <w:r>
              <w:rPr>
                <w:rFonts w:hint="eastAsia" w:ascii="Times New Roman" w:hAnsi="Times New Roman" w:eastAsia="宋体" w:cs="宋体"/>
                <w:b/>
                <w:bCs/>
                <w:kern w:val="0"/>
                <w:sz w:val="21"/>
                <w:szCs w:val="21"/>
              </w:rPr>
              <w:t>合计</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
                <w:sz w:val="21"/>
                <w:szCs w:val="21"/>
              </w:rPr>
            </w:pPr>
            <w:r>
              <w:rPr>
                <w:rFonts w:hint="eastAsia" w:ascii="Times New Roman" w:hAnsi="Times New Roman" w:eastAsia="宋体" w:cs="宋体"/>
                <w:b/>
                <w:sz w:val="21"/>
                <w:szCs w:val="21"/>
              </w:rPr>
              <w:t>35岁</w:t>
            </w:r>
          </w:p>
          <w:p>
            <w:pPr>
              <w:adjustRightInd w:val="0"/>
              <w:snapToGrid w:val="0"/>
              <w:jc w:val="center"/>
              <w:rPr>
                <w:rFonts w:hint="eastAsia" w:ascii="Times New Roman" w:hAnsi="Times New Roman" w:eastAsia="宋体" w:cs="宋体"/>
                <w:b/>
                <w:bCs/>
                <w:kern w:val="0"/>
                <w:sz w:val="21"/>
                <w:szCs w:val="21"/>
              </w:rPr>
            </w:pPr>
            <w:r>
              <w:rPr>
                <w:rFonts w:hint="eastAsia" w:ascii="Times New Roman" w:hAnsi="Times New Roman" w:eastAsia="宋体" w:cs="宋体"/>
                <w:b/>
                <w:sz w:val="21"/>
                <w:szCs w:val="21"/>
              </w:rPr>
              <w:t>及以下</w:t>
            </w:r>
          </w:p>
        </w:tc>
        <w:tc>
          <w:tcPr>
            <w:tcW w:w="7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
                <w:sz w:val="21"/>
                <w:szCs w:val="21"/>
              </w:rPr>
            </w:pPr>
            <w:r>
              <w:rPr>
                <w:rFonts w:hint="eastAsia" w:ascii="Times New Roman" w:hAnsi="Times New Roman" w:eastAsia="宋体" w:cs="宋体"/>
                <w:b/>
                <w:sz w:val="21"/>
                <w:szCs w:val="21"/>
              </w:rPr>
              <w:t>36至</w:t>
            </w:r>
          </w:p>
          <w:p>
            <w:pPr>
              <w:adjustRightInd w:val="0"/>
              <w:snapToGrid w:val="0"/>
              <w:jc w:val="center"/>
              <w:rPr>
                <w:rFonts w:hint="eastAsia" w:ascii="Times New Roman" w:hAnsi="Times New Roman" w:eastAsia="宋体" w:cs="宋体"/>
                <w:b/>
                <w:bCs/>
                <w:kern w:val="0"/>
                <w:sz w:val="21"/>
                <w:szCs w:val="21"/>
              </w:rPr>
            </w:pPr>
            <w:r>
              <w:rPr>
                <w:rFonts w:hint="eastAsia" w:ascii="Times New Roman" w:hAnsi="Times New Roman" w:eastAsia="宋体" w:cs="宋体"/>
                <w:b/>
                <w:sz w:val="21"/>
                <w:szCs w:val="21"/>
              </w:rPr>
              <w:t>45岁</w:t>
            </w:r>
          </w:p>
        </w:tc>
        <w:tc>
          <w:tcPr>
            <w:tcW w:w="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
                <w:sz w:val="21"/>
                <w:szCs w:val="21"/>
              </w:rPr>
            </w:pPr>
            <w:r>
              <w:rPr>
                <w:rFonts w:hint="eastAsia" w:ascii="Times New Roman" w:hAnsi="Times New Roman" w:eastAsia="宋体" w:cs="宋体"/>
                <w:b/>
                <w:sz w:val="21"/>
                <w:szCs w:val="21"/>
              </w:rPr>
              <w:t>46至</w:t>
            </w:r>
          </w:p>
          <w:p>
            <w:pPr>
              <w:adjustRightInd w:val="0"/>
              <w:snapToGrid w:val="0"/>
              <w:jc w:val="center"/>
              <w:rPr>
                <w:rFonts w:hint="eastAsia" w:ascii="Times New Roman" w:hAnsi="Times New Roman" w:eastAsia="宋体" w:cs="宋体"/>
                <w:b/>
                <w:bCs/>
                <w:kern w:val="0"/>
                <w:sz w:val="21"/>
                <w:szCs w:val="21"/>
              </w:rPr>
            </w:pPr>
            <w:r>
              <w:rPr>
                <w:rFonts w:hint="eastAsia" w:ascii="Times New Roman" w:hAnsi="Times New Roman" w:eastAsia="宋体" w:cs="宋体"/>
                <w:b/>
                <w:sz w:val="21"/>
                <w:szCs w:val="21"/>
              </w:rPr>
              <w:t>55岁</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
                <w:sz w:val="21"/>
                <w:szCs w:val="21"/>
              </w:rPr>
            </w:pPr>
            <w:r>
              <w:rPr>
                <w:rFonts w:hint="eastAsia" w:ascii="Times New Roman" w:hAnsi="Times New Roman" w:eastAsia="宋体" w:cs="宋体"/>
                <w:b/>
                <w:sz w:val="21"/>
                <w:szCs w:val="21"/>
              </w:rPr>
              <w:t>56至</w:t>
            </w:r>
          </w:p>
          <w:p>
            <w:pPr>
              <w:adjustRightInd w:val="0"/>
              <w:snapToGrid w:val="0"/>
              <w:jc w:val="center"/>
              <w:rPr>
                <w:rFonts w:hint="eastAsia" w:ascii="Times New Roman" w:hAnsi="Times New Roman" w:eastAsia="宋体" w:cs="宋体"/>
                <w:b/>
                <w:bCs/>
                <w:kern w:val="0"/>
                <w:sz w:val="21"/>
                <w:szCs w:val="21"/>
              </w:rPr>
            </w:pPr>
            <w:r>
              <w:rPr>
                <w:rFonts w:hint="eastAsia" w:ascii="Times New Roman" w:hAnsi="Times New Roman" w:eastAsia="宋体" w:cs="宋体"/>
                <w:b/>
                <w:sz w:val="21"/>
                <w:szCs w:val="21"/>
              </w:rPr>
              <w:t>60岁</w:t>
            </w: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
                <w:sz w:val="21"/>
                <w:szCs w:val="21"/>
              </w:rPr>
            </w:pPr>
            <w:r>
              <w:rPr>
                <w:rFonts w:hint="eastAsia" w:ascii="Times New Roman" w:hAnsi="Times New Roman" w:eastAsia="宋体" w:cs="宋体"/>
                <w:b/>
                <w:sz w:val="21"/>
                <w:szCs w:val="21"/>
              </w:rPr>
              <w:t>61岁</w:t>
            </w:r>
          </w:p>
          <w:p>
            <w:pPr>
              <w:adjustRightInd w:val="0"/>
              <w:snapToGrid w:val="0"/>
              <w:jc w:val="center"/>
              <w:rPr>
                <w:rFonts w:hint="eastAsia" w:ascii="Times New Roman" w:hAnsi="Times New Roman" w:eastAsia="宋体" w:cs="宋体"/>
                <w:b/>
                <w:bCs/>
                <w:kern w:val="0"/>
                <w:sz w:val="21"/>
                <w:szCs w:val="21"/>
              </w:rPr>
            </w:pPr>
            <w:r>
              <w:rPr>
                <w:rFonts w:hint="eastAsia" w:ascii="Times New Roman" w:hAnsi="Times New Roman" w:eastAsia="宋体" w:cs="宋体"/>
                <w:b/>
                <w:sz w:val="21"/>
                <w:szCs w:val="21"/>
              </w:rPr>
              <w:t>及以上</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宋体"/>
                <w:b/>
                <w:bCs/>
                <w:kern w:val="0"/>
                <w:sz w:val="21"/>
                <w:szCs w:val="21"/>
              </w:rPr>
            </w:pPr>
            <w:r>
              <w:rPr>
                <w:rFonts w:hint="eastAsia" w:ascii="Times New Roman" w:hAnsi="Times New Roman" w:eastAsia="宋体" w:cs="宋体"/>
                <w:b/>
                <w:bCs/>
                <w:kern w:val="0"/>
                <w:sz w:val="21"/>
                <w:szCs w:val="21"/>
              </w:rPr>
              <w:t>博士学位人数</w:t>
            </w: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宋体"/>
                <w:b/>
                <w:bCs/>
                <w:kern w:val="0"/>
                <w:sz w:val="21"/>
                <w:szCs w:val="21"/>
              </w:rPr>
            </w:pPr>
            <w:r>
              <w:rPr>
                <w:rFonts w:hint="eastAsia" w:ascii="Times New Roman" w:hAnsi="Times New Roman" w:eastAsia="宋体" w:cs="宋体"/>
                <w:b/>
                <w:bCs/>
                <w:kern w:val="0"/>
                <w:sz w:val="21"/>
                <w:szCs w:val="21"/>
              </w:rPr>
              <w:t>境外经历人数</w:t>
            </w:r>
          </w:p>
        </w:tc>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
                <w:bCs/>
                <w:kern w:val="0"/>
                <w:sz w:val="21"/>
                <w:szCs w:val="21"/>
              </w:rPr>
            </w:pPr>
            <w:r>
              <w:rPr>
                <w:rFonts w:hint="eastAsia" w:ascii="Times New Roman" w:hAnsi="Times New Roman" w:eastAsia="宋体" w:cs="宋体"/>
                <w:b/>
                <w:bCs/>
                <w:kern w:val="0"/>
                <w:sz w:val="21"/>
                <w:szCs w:val="21"/>
              </w:rPr>
              <w:t>博导</w:t>
            </w:r>
          </w:p>
          <w:p>
            <w:pPr>
              <w:widowControl/>
              <w:adjustRightInd w:val="0"/>
              <w:snapToGrid w:val="0"/>
              <w:jc w:val="center"/>
              <w:rPr>
                <w:rFonts w:hint="eastAsia" w:ascii="Times New Roman" w:hAnsi="Times New Roman" w:eastAsia="宋体" w:cs="宋体"/>
                <w:b/>
                <w:bCs/>
                <w:kern w:val="0"/>
                <w:sz w:val="21"/>
                <w:szCs w:val="21"/>
              </w:rPr>
            </w:pPr>
            <w:r>
              <w:rPr>
                <w:rFonts w:hint="eastAsia" w:ascii="Times New Roman" w:hAnsi="Times New Roman" w:eastAsia="宋体" w:cs="宋体"/>
                <w:b/>
                <w:bCs/>
                <w:kern w:val="0"/>
                <w:sz w:val="21"/>
                <w:szCs w:val="21"/>
              </w:rPr>
              <w:t>人数</w:t>
            </w:r>
          </w:p>
        </w:tc>
        <w:tc>
          <w:tcPr>
            <w:tcW w:w="6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
                <w:bCs/>
                <w:kern w:val="0"/>
                <w:sz w:val="21"/>
                <w:szCs w:val="21"/>
              </w:rPr>
            </w:pPr>
            <w:r>
              <w:rPr>
                <w:rFonts w:hint="eastAsia" w:ascii="Times New Roman" w:hAnsi="Times New Roman" w:eastAsia="宋体" w:cs="宋体"/>
                <w:b/>
                <w:bCs/>
                <w:kern w:val="0"/>
                <w:sz w:val="21"/>
                <w:szCs w:val="21"/>
              </w:rPr>
              <w:t>硕导</w:t>
            </w:r>
          </w:p>
          <w:p>
            <w:pPr>
              <w:widowControl/>
              <w:adjustRightInd w:val="0"/>
              <w:snapToGrid w:val="0"/>
              <w:jc w:val="center"/>
              <w:rPr>
                <w:rFonts w:hint="eastAsia" w:ascii="Times New Roman" w:hAnsi="Times New Roman" w:eastAsia="宋体" w:cs="宋体"/>
                <w:b/>
                <w:bCs/>
                <w:kern w:val="0"/>
                <w:sz w:val="21"/>
                <w:szCs w:val="21"/>
              </w:rPr>
            </w:pPr>
            <w:r>
              <w:rPr>
                <w:rFonts w:hint="eastAsia" w:ascii="Times New Roman" w:hAnsi="Times New Roman" w:eastAsia="宋体" w:cs="宋体"/>
                <w:b/>
                <w:bCs/>
                <w:kern w:val="0"/>
                <w:sz w:val="21"/>
                <w:szCs w:val="21"/>
              </w:rPr>
              <w:t>人数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
                <w:bCs/>
                <w:sz w:val="21"/>
                <w:szCs w:val="21"/>
              </w:rPr>
            </w:pPr>
            <w:r>
              <w:rPr>
                <w:rFonts w:hint="eastAsia" w:ascii="Times New Roman" w:hAnsi="Times New Roman" w:eastAsia="宋体" w:cs="宋体"/>
                <w:b/>
                <w:bCs/>
                <w:kern w:val="0"/>
                <w:sz w:val="21"/>
                <w:szCs w:val="21"/>
              </w:rPr>
              <w:t>正高级</w:t>
            </w:r>
          </w:p>
        </w:tc>
        <w:tc>
          <w:tcPr>
            <w:tcW w:w="6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5</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0</w:t>
            </w:r>
          </w:p>
        </w:tc>
        <w:tc>
          <w:tcPr>
            <w:tcW w:w="7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2</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2</w:t>
            </w: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0</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ascii="Times New Roman" w:hAnsi="Times New Roman" w:cs="宋体"/>
                <w:color w:val="000000" w:themeColor="text1"/>
                <w:sz w:val="21"/>
                <w:szCs w:val="21"/>
                <w:lang w:val="en-US" w:eastAsia="zh-CN"/>
                <w14:textFill>
                  <w14:solidFill>
                    <w14:schemeClr w14:val="tx1"/>
                  </w14:solidFill>
                </w14:textFill>
              </w:rPr>
              <w:t>2</w:t>
            </w:r>
          </w:p>
        </w:tc>
        <w:tc>
          <w:tcPr>
            <w:tcW w:w="8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0</w:t>
            </w:r>
          </w:p>
        </w:tc>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0</w:t>
            </w:r>
          </w:p>
        </w:tc>
        <w:tc>
          <w:tcPr>
            <w:tcW w:w="6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6"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
                <w:bCs/>
                <w:sz w:val="21"/>
                <w:szCs w:val="21"/>
              </w:rPr>
            </w:pPr>
            <w:r>
              <w:rPr>
                <w:rFonts w:hint="eastAsia" w:ascii="Times New Roman" w:hAnsi="Times New Roman" w:eastAsia="宋体" w:cs="宋体"/>
                <w:b/>
                <w:bCs/>
                <w:kern w:val="0"/>
                <w:sz w:val="21"/>
                <w:szCs w:val="21"/>
              </w:rPr>
              <w:t>副高级</w:t>
            </w:r>
          </w:p>
        </w:tc>
        <w:tc>
          <w:tcPr>
            <w:tcW w:w="6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22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0</w:t>
            </w:r>
          </w:p>
        </w:tc>
        <w:tc>
          <w:tcPr>
            <w:tcW w:w="7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9</w:t>
            </w:r>
          </w:p>
        </w:tc>
        <w:tc>
          <w:tcPr>
            <w:tcW w:w="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3</w:t>
            </w: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0</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5</w:t>
            </w:r>
          </w:p>
        </w:tc>
        <w:tc>
          <w:tcPr>
            <w:tcW w:w="8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4</w:t>
            </w:r>
          </w:p>
        </w:tc>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0</w:t>
            </w:r>
          </w:p>
        </w:tc>
        <w:tc>
          <w:tcPr>
            <w:tcW w:w="6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19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
                <w:bCs/>
                <w:sz w:val="21"/>
                <w:szCs w:val="21"/>
              </w:rPr>
            </w:pPr>
            <w:r>
              <w:rPr>
                <w:rFonts w:hint="eastAsia" w:ascii="Times New Roman" w:hAnsi="Times New Roman" w:eastAsia="宋体" w:cs="宋体"/>
                <w:b/>
                <w:bCs/>
                <w:kern w:val="0"/>
                <w:sz w:val="21"/>
                <w:szCs w:val="21"/>
              </w:rPr>
              <w:t>其他</w:t>
            </w:r>
          </w:p>
        </w:tc>
        <w:tc>
          <w:tcPr>
            <w:tcW w:w="6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5</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2</w:t>
            </w:r>
          </w:p>
        </w:tc>
        <w:tc>
          <w:tcPr>
            <w:tcW w:w="7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0</w:t>
            </w: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0</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0</w:t>
            </w:r>
          </w:p>
        </w:tc>
        <w:tc>
          <w:tcPr>
            <w:tcW w:w="8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2</w:t>
            </w:r>
          </w:p>
        </w:tc>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0</w:t>
            </w:r>
          </w:p>
        </w:tc>
        <w:tc>
          <w:tcPr>
            <w:tcW w:w="6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sz w:val="21"/>
                <w:szCs w:val="21"/>
              </w:rPr>
            </w:pPr>
            <w:r>
              <w:rPr>
                <w:rFonts w:hint="eastAsia" w:ascii="Times New Roman" w:hAnsi="Times New Roman" w:eastAsia="宋体" w:cs="宋体"/>
                <w:sz w:val="21"/>
                <w:szCs w:val="21"/>
              </w:rPr>
              <w:t>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1"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
                <w:sz w:val="21"/>
                <w:szCs w:val="21"/>
              </w:rPr>
            </w:pPr>
            <w:r>
              <w:rPr>
                <w:rFonts w:hint="eastAsia" w:ascii="Times New Roman" w:hAnsi="Times New Roman" w:eastAsia="宋体" w:cs="宋体"/>
                <w:b/>
                <w:bCs/>
                <w:kern w:val="0"/>
                <w:sz w:val="21"/>
                <w:szCs w:val="21"/>
              </w:rPr>
              <w:t>总计</w:t>
            </w:r>
          </w:p>
        </w:tc>
        <w:tc>
          <w:tcPr>
            <w:tcW w:w="6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Cs/>
                <w:sz w:val="21"/>
                <w:szCs w:val="21"/>
              </w:rPr>
            </w:pPr>
            <w:r>
              <w:rPr>
                <w:rFonts w:hint="eastAsia" w:ascii="Times New Roman" w:hAnsi="Times New Roman" w:eastAsia="宋体" w:cs="宋体"/>
                <w:bCs/>
                <w:sz w:val="21"/>
                <w:szCs w:val="21"/>
              </w:rPr>
              <w:t>32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Cs/>
                <w:sz w:val="21"/>
                <w:szCs w:val="21"/>
              </w:rPr>
            </w:pPr>
            <w:r>
              <w:rPr>
                <w:rFonts w:hint="eastAsia" w:ascii="Times New Roman" w:hAnsi="Times New Roman" w:eastAsia="宋体" w:cs="宋体"/>
                <w:bCs/>
                <w:sz w:val="21"/>
                <w:szCs w:val="21"/>
              </w:rPr>
              <w:t>2</w:t>
            </w:r>
          </w:p>
        </w:tc>
        <w:tc>
          <w:tcPr>
            <w:tcW w:w="7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Cs/>
                <w:sz w:val="21"/>
                <w:szCs w:val="21"/>
              </w:rPr>
            </w:pPr>
            <w:r>
              <w:rPr>
                <w:rFonts w:hint="eastAsia" w:ascii="Times New Roman" w:hAnsi="Times New Roman" w:eastAsia="宋体" w:cs="宋体"/>
                <w:bCs/>
                <w:sz w:val="21"/>
                <w:szCs w:val="21"/>
              </w:rPr>
              <w:t>13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Cs/>
                <w:sz w:val="21"/>
                <w:szCs w:val="21"/>
              </w:rPr>
            </w:pPr>
            <w:r>
              <w:rPr>
                <w:rFonts w:hint="eastAsia" w:ascii="Times New Roman" w:hAnsi="Times New Roman" w:eastAsia="宋体" w:cs="宋体"/>
                <w:bCs/>
                <w:sz w:val="21"/>
                <w:szCs w:val="21"/>
              </w:rPr>
              <w:t>12</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Cs/>
                <w:sz w:val="21"/>
                <w:szCs w:val="21"/>
              </w:rPr>
            </w:pPr>
            <w:r>
              <w:rPr>
                <w:rFonts w:hint="eastAsia" w:ascii="Times New Roman" w:hAnsi="Times New Roman" w:eastAsia="宋体" w:cs="宋体"/>
                <w:bCs/>
                <w:sz w:val="21"/>
                <w:szCs w:val="21"/>
              </w:rPr>
              <w:t>5</w:t>
            </w: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Cs/>
                <w:sz w:val="21"/>
                <w:szCs w:val="21"/>
              </w:rPr>
            </w:pPr>
            <w:r>
              <w:rPr>
                <w:rFonts w:hint="eastAsia" w:ascii="Times New Roman" w:hAnsi="Times New Roman" w:eastAsia="宋体" w:cs="宋体"/>
                <w:bCs/>
                <w:sz w:val="21"/>
                <w:szCs w:val="21"/>
              </w:rPr>
              <w:t>0</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Cs/>
                <w:color w:val="000000" w:themeColor="text1"/>
                <w:sz w:val="21"/>
                <w:szCs w:val="21"/>
                <w:lang w:eastAsia="zh-CN"/>
                <w14:textFill>
                  <w14:solidFill>
                    <w14:schemeClr w14:val="tx1"/>
                  </w14:solidFill>
                </w14:textFill>
              </w:rPr>
            </w:pPr>
            <w:r>
              <w:rPr>
                <w:rFonts w:hint="eastAsia" w:ascii="Times New Roman" w:hAnsi="Times New Roman" w:cs="宋体"/>
                <w:bCs/>
                <w:color w:val="000000" w:themeColor="text1"/>
                <w:sz w:val="21"/>
                <w:szCs w:val="21"/>
                <w:lang w:val="en-US" w:eastAsia="zh-CN"/>
                <w14:textFill>
                  <w14:solidFill>
                    <w14:schemeClr w14:val="tx1"/>
                  </w14:solidFill>
                </w14:textFill>
              </w:rPr>
              <w:t>7</w:t>
            </w:r>
          </w:p>
        </w:tc>
        <w:tc>
          <w:tcPr>
            <w:tcW w:w="8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Cs/>
                <w:sz w:val="21"/>
                <w:szCs w:val="21"/>
              </w:rPr>
            </w:pPr>
            <w:r>
              <w:rPr>
                <w:rFonts w:hint="eastAsia" w:ascii="Times New Roman" w:hAnsi="Times New Roman" w:eastAsia="宋体" w:cs="宋体"/>
                <w:bCs/>
                <w:sz w:val="21"/>
                <w:szCs w:val="21"/>
              </w:rPr>
              <w:t>6</w:t>
            </w:r>
          </w:p>
        </w:tc>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Cs/>
                <w:sz w:val="21"/>
                <w:szCs w:val="21"/>
              </w:rPr>
            </w:pPr>
            <w:r>
              <w:rPr>
                <w:rFonts w:hint="eastAsia" w:ascii="Times New Roman" w:hAnsi="Times New Roman" w:eastAsia="宋体" w:cs="宋体"/>
                <w:bCs/>
                <w:sz w:val="21"/>
                <w:szCs w:val="21"/>
              </w:rPr>
              <w:t>0</w:t>
            </w:r>
          </w:p>
        </w:tc>
        <w:tc>
          <w:tcPr>
            <w:tcW w:w="6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Cs/>
                <w:sz w:val="21"/>
                <w:szCs w:val="21"/>
              </w:rPr>
            </w:pPr>
            <w:r>
              <w:rPr>
                <w:rFonts w:hint="eastAsia" w:ascii="Times New Roman" w:hAnsi="Times New Roman" w:eastAsia="宋体" w:cs="宋体"/>
                <w:bCs/>
                <w:sz w:val="21"/>
                <w:szCs w:val="21"/>
              </w:rPr>
              <w:t>21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452"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宋体"/>
                <w:bCs/>
                <w:sz w:val="21"/>
                <w:szCs w:val="21"/>
              </w:rPr>
            </w:pPr>
            <w:r>
              <w:rPr>
                <w:rFonts w:hint="eastAsia" w:ascii="宋体" w:hAnsi="宋体" w:eastAsia="宋体" w:cs="宋体"/>
                <w:color w:val="000000"/>
                <w:sz w:val="21"/>
                <w:szCs w:val="21"/>
              </w:rPr>
              <w:t>最高学位非本单位人数（比例）</w:t>
            </w:r>
          </w:p>
        </w:tc>
        <w:tc>
          <w:tcPr>
            <w:tcW w:w="394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宋体"/>
                <w:bCs/>
                <w:sz w:val="21"/>
                <w:szCs w:val="21"/>
              </w:rPr>
            </w:pPr>
            <w:r>
              <w:rPr>
                <w:rFonts w:hint="eastAsia" w:ascii="宋体" w:hAnsi="宋体" w:eastAsia="宋体" w:cs="宋体"/>
                <w:color w:val="000000"/>
                <w:sz w:val="21"/>
                <w:szCs w:val="21"/>
              </w:rPr>
              <w:t>导师人数（比例）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6" w:hRule="atLeast"/>
          <w:jc w:val="center"/>
        </w:trPr>
        <w:tc>
          <w:tcPr>
            <w:tcW w:w="4452"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宋体"/>
                <w:bCs/>
                <w:sz w:val="21"/>
                <w:szCs w:val="21"/>
              </w:rPr>
            </w:pPr>
            <w:r>
              <w:rPr>
                <w:rFonts w:hint="eastAsia" w:ascii="宋体" w:hAnsi="宋体" w:eastAsia="宋体" w:cs="宋体"/>
                <w:color w:val="000000"/>
                <w:sz w:val="21"/>
                <w:szCs w:val="21"/>
              </w:rPr>
              <w:t>21人（80.8％）</w:t>
            </w:r>
          </w:p>
        </w:tc>
        <w:tc>
          <w:tcPr>
            <w:tcW w:w="394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宋体"/>
                <w:bCs/>
                <w:sz w:val="21"/>
                <w:szCs w:val="21"/>
              </w:rPr>
            </w:pPr>
            <w:bookmarkStart w:id="0" w:name="_GoBack"/>
            <w:bookmarkEnd w:id="0"/>
            <w:r>
              <w:rPr>
                <w:rFonts w:hint="eastAsia" w:ascii="宋体" w:hAnsi="宋体" w:eastAsia="宋体" w:cs="宋体"/>
                <w:color w:val="000000"/>
                <w:sz w:val="21"/>
                <w:szCs w:val="21"/>
                <w:lang w:val="en-US" w:eastAsia="zh-CN"/>
              </w:rPr>
              <w:t>24</w:t>
            </w:r>
            <w:r>
              <w:rPr>
                <w:rFonts w:hint="eastAsia" w:ascii="宋体" w:hAnsi="宋体" w:eastAsia="宋体" w:cs="宋体"/>
                <w:color w:val="000000"/>
                <w:sz w:val="21"/>
                <w:szCs w:val="21"/>
              </w:rPr>
              <w:t>人（</w:t>
            </w:r>
            <w:r>
              <w:rPr>
                <w:rFonts w:hint="eastAsia" w:ascii="宋体" w:hAnsi="宋体" w:eastAsia="宋体" w:cs="宋体"/>
                <w:color w:val="000000"/>
                <w:sz w:val="21"/>
                <w:szCs w:val="21"/>
                <w:lang w:val="en-US" w:eastAsia="zh-CN"/>
              </w:rPr>
              <w:t>75</w:t>
            </w:r>
            <w:r>
              <w:rPr>
                <w:rFonts w:hint="eastAsia" w:ascii="宋体" w:hAnsi="宋体" w:eastAsia="宋体" w:cs="宋体"/>
                <w:color w:val="000000"/>
                <w:sz w:val="21"/>
                <w:szCs w:val="21"/>
              </w:rPr>
              <w:t>％）</w:t>
            </w:r>
          </w:p>
        </w:tc>
      </w:tr>
    </w:tbl>
    <w:p>
      <w:pPr>
        <w:keepNext w:val="0"/>
        <w:keepLines w:val="0"/>
        <w:pageBreakBefore w:val="0"/>
        <w:widowControl w:val="0"/>
        <w:kinsoku/>
        <w:wordWrap/>
        <w:overflowPunct/>
        <w:topLinePunct w:val="0"/>
        <w:autoSpaceDE/>
        <w:autoSpaceDN/>
        <w:bidi w:val="0"/>
        <w:adjustRightInd/>
        <w:snapToGrid/>
        <w:spacing w:before="157" w:beforeLines="50" w:line="520" w:lineRule="exact"/>
        <w:ind w:firstLine="562" w:firstLineChars="200"/>
        <w:jc w:val="both"/>
        <w:textAlignment w:val="auto"/>
        <w:outlineLvl w:val="9"/>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3.科学研究</w:t>
      </w:r>
    </w:p>
    <w:p>
      <w:pPr>
        <w:pStyle w:val="2"/>
        <w:rPr>
          <w:rFonts w:hint="eastAsia" w:ascii="Times New Roman" w:hAnsi="Times New Roman" w:eastAsia="宋体" w:cs="宋体"/>
          <w:sz w:val="28"/>
          <w:szCs w:val="28"/>
        </w:rPr>
      </w:pPr>
      <w:r>
        <w:rPr>
          <w:rFonts w:hint="eastAsia" w:ascii="Times New Roman" w:hAnsi="Times New Roman" w:eastAsia="宋体" w:cs="宋体"/>
          <w:sz w:val="28"/>
          <w:szCs w:val="28"/>
          <w:lang w:val="en-US" w:eastAsia="zh-CN"/>
        </w:rPr>
        <w:t>本年度，学科点</w:t>
      </w:r>
      <w:r>
        <w:rPr>
          <w:rFonts w:hint="eastAsia" w:ascii="Times New Roman" w:hAnsi="Times New Roman" w:eastAsia="宋体" w:cs="宋体"/>
          <w:sz w:val="28"/>
          <w:szCs w:val="28"/>
        </w:rPr>
        <w:t>组织参加国家项目申报经验交流会6场；组织主办同通识大讲堂、专业专题讲座10余场。全年组织申报各级各类项目20余项，获得立项资助9项，到账科研经费26.433万元，较2020年增加0.503万元。其中，申报国家社科基金项目2项，教育部人文社科项目4项，湖南省社科基金项目5项，湖南省社会科学成果评审委员会课题2项，湖南省教育科学“十四五”规划课题2项，省教育厅科研项目5项；获得教育部人文社会科学研究专项任务项目（高校辅导员研究）立项1项，省社科基金项目资助2项，省社会科学成果评审委员会课题2项，省教育科学“十四五”规划课题1项，省教育厅科研优秀青年项目1项，一般项目2项。</w:t>
      </w:r>
    </w:p>
    <w:p>
      <w:pPr>
        <w:ind w:firstLine="560" w:firstLineChars="200"/>
        <w:rPr>
          <w:rFonts w:hint="default" w:ascii="Times New Roman" w:hAnsi="Times New Roman" w:eastAsia="宋体" w:cs="宋体"/>
          <w:color w:val="000000"/>
          <w:kern w:val="2"/>
          <w:sz w:val="28"/>
          <w:szCs w:val="28"/>
          <w:lang w:val="en-US" w:eastAsia="zh-CN" w:bidi="ar-SA"/>
        </w:rPr>
      </w:pPr>
      <w:r>
        <w:rPr>
          <w:rFonts w:hint="default" w:ascii="Times New Roman" w:hAnsi="Times New Roman" w:eastAsia="宋体" w:cs="宋体"/>
          <w:color w:val="000000"/>
          <w:kern w:val="2"/>
          <w:sz w:val="28"/>
          <w:szCs w:val="28"/>
          <w:lang w:val="en-US" w:eastAsia="zh-CN" w:bidi="ar-SA"/>
        </w:rPr>
        <w:t>本年度，科研成果奖项、重要文章刊载方面上取得突破。其中，获得第十五届湖南省哲学社会科学成果奖三等奖、获得第六届全国教育科学研究优秀成果三等奖（排名第四）；《加快打造农耕文化对外传播新窗口》和《科学构建涉农高校耕读教育新范式》2篇学院署名文章刊登在《湖南日报（理论•智库）》专栏。此外，学院教师出版专著1部，发表论文21篇，其中，CSSCI来源期刊论文1篇，以合作单位发表SCI论文1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left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val="en-US" w:eastAsia="zh-CN"/>
        </w:rPr>
        <w:t xml:space="preserve">4. </w:t>
      </w:r>
      <w:r>
        <w:rPr>
          <w:rFonts w:hint="eastAsia" w:ascii="黑体" w:hAnsi="黑体" w:eastAsia="黑体" w:cs="黑体"/>
          <w:b/>
          <w:bCs/>
          <w:sz w:val="28"/>
          <w:szCs w:val="28"/>
        </w:rPr>
        <w:t>教学科研支撑</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Cs/>
          <w:sz w:val="28"/>
          <w:szCs w:val="28"/>
        </w:rPr>
      </w:pPr>
      <w:r>
        <w:rPr>
          <w:rFonts w:hint="eastAsia" w:ascii="Times New Roman" w:hAnsi="Times New Roman" w:eastAsia="宋体" w:cs="宋体"/>
          <w:b/>
          <w:bCs/>
          <w:color w:val="000000"/>
          <w:sz w:val="28"/>
          <w:szCs w:val="28"/>
          <w:lang w:val="en-US" w:eastAsia="zh-CN"/>
        </w:rPr>
        <w:t xml:space="preserve">4.1 </w:t>
      </w:r>
      <w:r>
        <w:rPr>
          <w:rFonts w:hint="eastAsia" w:ascii="Times New Roman" w:hAnsi="Times New Roman" w:eastAsia="宋体" w:cs="宋体"/>
          <w:b/>
          <w:bCs/>
          <w:color w:val="000000"/>
          <w:sz w:val="28"/>
          <w:szCs w:val="28"/>
        </w:rPr>
        <w:t>平台建设</w:t>
      </w:r>
      <w:r>
        <w:rPr>
          <w:rFonts w:hint="eastAsia" w:ascii="Times New Roman" w:hAnsi="Times New Roman"/>
          <w:b/>
          <w:bCs/>
          <w:color w:val="000000"/>
          <w:sz w:val="28"/>
          <w:szCs w:val="28"/>
        </w:rPr>
        <w:t xml:space="preserve"> </w:t>
      </w:r>
      <w:r>
        <w:rPr>
          <w:rFonts w:hint="eastAsia" w:hAnsi="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Cs/>
          <w:sz w:val="28"/>
          <w:szCs w:val="28"/>
          <w:lang w:val="en-US" w:eastAsia="zh-CN"/>
        </w:rPr>
      </w:pPr>
      <w:r>
        <w:rPr>
          <w:rFonts w:hint="eastAsia" w:hAnsi="宋体"/>
          <w:color w:val="000000"/>
          <w:sz w:val="28"/>
          <w:szCs w:val="28"/>
        </w:rPr>
        <w:t>学</w:t>
      </w:r>
      <w:r>
        <w:rPr>
          <w:rFonts w:hint="eastAsia" w:hAnsi="宋体"/>
          <w:color w:val="000000"/>
          <w:sz w:val="28"/>
          <w:szCs w:val="28"/>
          <w:lang w:val="en-US" w:eastAsia="zh-CN"/>
        </w:rPr>
        <w:t>科聚焦平台建设，迄今已</w:t>
      </w:r>
      <w:r>
        <w:rPr>
          <w:rFonts w:hint="eastAsia" w:ascii="宋体" w:hAnsi="宋体" w:eastAsia="宋体" w:cs="宋体"/>
          <w:bCs/>
          <w:sz w:val="28"/>
          <w:szCs w:val="28"/>
        </w:rPr>
        <w:t>构筑了教学、科研、实践和国际交流四类平台。</w:t>
      </w:r>
      <w:r>
        <w:rPr>
          <w:rFonts w:hint="eastAsia" w:ascii="宋体" w:hAnsi="宋体" w:eastAsia="宋体" w:cs="宋体"/>
          <w:bCs/>
          <w:sz w:val="28"/>
          <w:szCs w:val="28"/>
          <w:lang w:val="en-US" w:eastAsia="zh-CN"/>
        </w:rPr>
        <w:t>具体如下：</w:t>
      </w:r>
    </w:p>
    <w:p>
      <w:pPr>
        <w:pStyle w:val="2"/>
        <w:jc w:val="center"/>
        <w:rPr>
          <w:rFonts w:hint="default"/>
          <w:b/>
          <w:bCs w:val="0"/>
          <w:sz w:val="24"/>
          <w:szCs w:val="24"/>
          <w:lang w:val="en-US" w:eastAsia="zh-CN"/>
        </w:rPr>
      </w:pPr>
      <w:r>
        <w:rPr>
          <w:rFonts w:hint="default" w:ascii="Times New Roman" w:hAnsi="Times New Roman" w:cs="Times New Roman" w:eastAsiaTheme="minorEastAsia"/>
          <w:b/>
          <w:bCs w:val="0"/>
          <w:color w:val="auto"/>
          <w:kern w:val="2"/>
          <w:sz w:val="24"/>
          <w:szCs w:val="24"/>
          <w:lang w:val="en-US" w:eastAsia="zh-CN" w:bidi="ar-SA"/>
        </w:rPr>
        <w:t>表3</w:t>
      </w:r>
      <w:r>
        <w:rPr>
          <w:rFonts w:hint="eastAsia" w:ascii="宋体" w:hAnsi="宋体" w:eastAsia="宋体" w:cs="宋体"/>
          <w:b/>
          <w:bCs w:val="0"/>
          <w:sz w:val="24"/>
          <w:szCs w:val="24"/>
          <w:lang w:val="en-US" w:eastAsia="zh-CN"/>
        </w:rPr>
        <w:t xml:space="preserve"> 学科平台建设</w:t>
      </w:r>
    </w:p>
    <w:tbl>
      <w:tblPr>
        <w:tblStyle w:val="7"/>
        <w:tblW w:w="8297" w:type="dxa"/>
        <w:tblInd w:w="13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044"/>
        <w:gridCol w:w="2965"/>
        <w:gridCol w:w="1581"/>
        <w:gridCol w:w="1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67" w:type="dxa"/>
            <w:tcBorders>
              <w:top w:val="single" w:color="auto" w:sz="12" w:space="0"/>
              <w:left w:val="single" w:color="auto" w:sz="12" w:space="0"/>
              <w:bottom w:val="single" w:color="auto" w:sz="4" w:space="0"/>
              <w:right w:val="single" w:color="auto" w:sz="4" w:space="0"/>
            </w:tcBorders>
            <w:vAlign w:val="center"/>
          </w:tcPr>
          <w:p>
            <w:pPr>
              <w:ind w:left="-140" w:leftChars="-50" w:right="-140" w:rightChars="-50"/>
              <w:jc w:val="center"/>
              <w:rPr>
                <w:rFonts w:ascii="Times New Roman" w:hAnsi="Times New Roman" w:eastAsia="宋体" w:cs="Times New Roman"/>
                <w:sz w:val="21"/>
                <w:szCs w:val="21"/>
              </w:rPr>
            </w:pPr>
            <w:r>
              <w:rPr>
                <w:rFonts w:hint="eastAsia" w:ascii="Times New Roman" w:hAnsi="Times New Roman" w:eastAsia="宋体" w:cs="Times New Roman"/>
                <w:b/>
                <w:sz w:val="21"/>
                <w:szCs w:val="21"/>
              </w:rPr>
              <w:t>序号</w:t>
            </w:r>
          </w:p>
        </w:tc>
        <w:tc>
          <w:tcPr>
            <w:tcW w:w="2044"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sz w:val="21"/>
                <w:szCs w:val="21"/>
              </w:rPr>
            </w:pPr>
            <w:r>
              <w:rPr>
                <w:rFonts w:hint="eastAsia" w:ascii="Times New Roman" w:hAnsi="Times New Roman" w:eastAsia="宋体" w:cs="Times New Roman"/>
                <w:b/>
                <w:sz w:val="21"/>
                <w:szCs w:val="21"/>
              </w:rPr>
              <w:t>平台类别</w:t>
            </w:r>
          </w:p>
        </w:tc>
        <w:tc>
          <w:tcPr>
            <w:tcW w:w="2965"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sz w:val="21"/>
                <w:szCs w:val="21"/>
              </w:rPr>
            </w:pPr>
            <w:r>
              <w:rPr>
                <w:rFonts w:hint="eastAsia" w:ascii="Times New Roman" w:hAnsi="Times New Roman" w:eastAsia="宋体" w:cs="Times New Roman"/>
                <w:b/>
                <w:sz w:val="21"/>
                <w:szCs w:val="21"/>
              </w:rPr>
              <w:t>平台名称</w:t>
            </w:r>
          </w:p>
        </w:tc>
        <w:tc>
          <w:tcPr>
            <w:tcW w:w="1581"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 w:val="21"/>
                <w:szCs w:val="21"/>
              </w:rPr>
            </w:pPr>
            <w:r>
              <w:rPr>
                <w:rFonts w:hint="eastAsia" w:ascii="Times New Roman" w:hAnsi="Times New Roman" w:eastAsia="宋体" w:cs="Times New Roman"/>
                <w:b/>
                <w:sz w:val="21"/>
                <w:szCs w:val="21"/>
              </w:rPr>
              <w:t>批准部门</w:t>
            </w:r>
          </w:p>
        </w:tc>
        <w:tc>
          <w:tcPr>
            <w:tcW w:w="1040" w:type="dxa"/>
            <w:tcBorders>
              <w:top w:val="single" w:color="auto" w:sz="12"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b/>
                <w:sz w:val="21"/>
                <w:szCs w:val="21"/>
              </w:rPr>
            </w:pPr>
            <w:r>
              <w:rPr>
                <w:rFonts w:hint="eastAsia" w:ascii="Times New Roman" w:hAnsi="Times New Roman" w:eastAsia="宋体" w:cs="Times New Roman"/>
                <w:b/>
                <w:sz w:val="21"/>
                <w:szCs w:val="21"/>
              </w:rPr>
              <w:t>批准</w:t>
            </w:r>
          </w:p>
          <w:p>
            <w:pPr>
              <w:jc w:val="center"/>
              <w:rPr>
                <w:rFonts w:ascii="Times New Roman" w:hAnsi="Times New Roman" w:eastAsia="宋体" w:cs="Times New Roman"/>
                <w:bCs/>
                <w:sz w:val="21"/>
                <w:szCs w:val="21"/>
              </w:rPr>
            </w:pPr>
            <w:r>
              <w:rPr>
                <w:rFonts w:hint="eastAsia" w:ascii="Times New Roman" w:hAnsi="Times New Roman" w:eastAsia="宋体" w:cs="Times New Roman"/>
                <w:b/>
                <w:sz w:val="21"/>
                <w:szCs w:val="21"/>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67"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w:t>
            </w:r>
          </w:p>
        </w:tc>
        <w:tc>
          <w:tcPr>
            <w:tcW w:w="2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国家级教学改革示范点</w:t>
            </w:r>
          </w:p>
        </w:tc>
        <w:tc>
          <w:tcPr>
            <w:tcW w:w="2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全国大学英语教学改革示范点</w:t>
            </w: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教育部</w:t>
            </w:r>
          </w:p>
        </w:tc>
        <w:tc>
          <w:tcPr>
            <w:tcW w:w="1040"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bCs/>
                <w:sz w:val="21"/>
                <w:szCs w:val="21"/>
              </w:rPr>
            </w:pPr>
            <w:r>
              <w:rPr>
                <w:rFonts w:hint="eastAsia" w:ascii="Times New Roman" w:hAnsi="Times New Roman" w:eastAsia="宋体" w:cs="宋体"/>
                <w:sz w:val="21"/>
                <w:szCs w:val="21"/>
              </w:rPr>
              <w:t>2007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7"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w:t>
            </w:r>
          </w:p>
        </w:tc>
        <w:tc>
          <w:tcPr>
            <w:tcW w:w="2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国家级实训基地</w:t>
            </w:r>
          </w:p>
        </w:tc>
        <w:tc>
          <w:tcPr>
            <w:tcW w:w="2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翻译人才培养及实训基地</w:t>
            </w: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中国翻译协会</w:t>
            </w:r>
          </w:p>
        </w:tc>
        <w:tc>
          <w:tcPr>
            <w:tcW w:w="1040"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bCs/>
                <w:sz w:val="21"/>
                <w:szCs w:val="21"/>
              </w:rPr>
            </w:pPr>
            <w:r>
              <w:rPr>
                <w:rFonts w:hint="eastAsia" w:ascii="Times New Roman" w:hAnsi="Times New Roman" w:eastAsia="宋体" w:cs="宋体"/>
                <w:sz w:val="21"/>
                <w:szCs w:val="21"/>
              </w:rPr>
              <w:t>2014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67"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3</w:t>
            </w:r>
          </w:p>
        </w:tc>
        <w:tc>
          <w:tcPr>
            <w:tcW w:w="2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国家级示范基地</w:t>
            </w:r>
          </w:p>
        </w:tc>
        <w:tc>
          <w:tcPr>
            <w:tcW w:w="2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语言服务行业创业创新实训基地示范院校</w:t>
            </w: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中国翻译协会</w:t>
            </w:r>
          </w:p>
        </w:tc>
        <w:tc>
          <w:tcPr>
            <w:tcW w:w="1040"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bCs/>
                <w:sz w:val="21"/>
                <w:szCs w:val="21"/>
              </w:rPr>
            </w:pPr>
            <w:r>
              <w:rPr>
                <w:rFonts w:hint="eastAsia" w:ascii="Times New Roman" w:hAnsi="Times New Roman" w:eastAsia="宋体" w:cs="宋体"/>
                <w:sz w:val="21"/>
                <w:szCs w:val="21"/>
              </w:rPr>
              <w:t>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67"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4</w:t>
            </w:r>
          </w:p>
        </w:tc>
        <w:tc>
          <w:tcPr>
            <w:tcW w:w="2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bCs/>
                <w:sz w:val="21"/>
                <w:szCs w:val="21"/>
              </w:rPr>
            </w:pPr>
            <w:r>
              <w:rPr>
                <w:rFonts w:hint="eastAsia" w:ascii="Times New Roman" w:hAnsi="Times New Roman" w:eastAsia="宋体" w:cs="宋体"/>
                <w:sz w:val="21"/>
                <w:szCs w:val="21"/>
              </w:rPr>
              <w:t>省级对外交流智库基地（全省五大对外交流智库基地之一）</w:t>
            </w:r>
          </w:p>
        </w:tc>
        <w:tc>
          <w:tcPr>
            <w:tcW w:w="2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bCs/>
                <w:sz w:val="21"/>
                <w:szCs w:val="21"/>
              </w:rPr>
            </w:pPr>
            <w:r>
              <w:rPr>
                <w:rFonts w:hint="eastAsia" w:ascii="Times New Roman" w:hAnsi="Times New Roman" w:eastAsia="宋体" w:cs="宋体"/>
                <w:sz w:val="21"/>
                <w:szCs w:val="21"/>
              </w:rPr>
              <w:t>湖南省日本文化研究与交流中心</w:t>
            </w: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bCs/>
                <w:sz w:val="21"/>
                <w:szCs w:val="21"/>
              </w:rPr>
            </w:pPr>
            <w:r>
              <w:rPr>
                <w:rFonts w:hint="eastAsia" w:ascii="Times New Roman" w:hAnsi="Times New Roman" w:eastAsia="宋体" w:cs="宋体"/>
                <w:color w:val="000000"/>
                <w:sz w:val="21"/>
                <w:szCs w:val="21"/>
              </w:rPr>
              <w:t>湖南省外事侨务办</w:t>
            </w:r>
          </w:p>
        </w:tc>
        <w:tc>
          <w:tcPr>
            <w:tcW w:w="1040"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bCs/>
                <w:sz w:val="21"/>
                <w:szCs w:val="21"/>
              </w:rPr>
            </w:pPr>
            <w:r>
              <w:rPr>
                <w:rFonts w:hint="eastAsia" w:ascii="Times New Roman" w:hAnsi="Times New Roman" w:eastAsia="宋体" w:cs="宋体"/>
                <w:sz w:val="21"/>
                <w:szCs w:val="21"/>
              </w:rPr>
              <w:t>2013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67"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5</w:t>
            </w:r>
          </w:p>
        </w:tc>
        <w:tc>
          <w:tcPr>
            <w:tcW w:w="2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bCs/>
                <w:sz w:val="21"/>
                <w:szCs w:val="21"/>
              </w:rPr>
            </w:pPr>
            <w:r>
              <w:rPr>
                <w:rFonts w:hint="eastAsia" w:ascii="Times New Roman" w:hAnsi="Times New Roman" w:eastAsia="宋体" w:cs="宋体"/>
                <w:bCs/>
                <w:sz w:val="21"/>
                <w:szCs w:val="21"/>
              </w:rPr>
              <w:t>学习中心</w:t>
            </w:r>
          </w:p>
        </w:tc>
        <w:tc>
          <w:tcPr>
            <w:tcW w:w="2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bCs/>
                <w:sz w:val="21"/>
                <w:szCs w:val="21"/>
              </w:rPr>
            </w:pPr>
            <w:r>
              <w:rPr>
                <w:rFonts w:hint="eastAsia" w:ascii="Times New Roman" w:hAnsi="Times New Roman" w:eastAsia="宋体" w:cs="宋体"/>
                <w:sz w:val="21"/>
                <w:szCs w:val="21"/>
              </w:rPr>
              <w:t>湖南农业大学语言学习中心</w:t>
            </w: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bCs/>
                <w:sz w:val="21"/>
                <w:szCs w:val="21"/>
              </w:rPr>
            </w:pPr>
            <w:r>
              <w:rPr>
                <w:rFonts w:hint="eastAsia" w:ascii="Times New Roman" w:hAnsi="Times New Roman" w:eastAsia="宋体" w:cs="宋体"/>
                <w:color w:val="000000"/>
                <w:sz w:val="21"/>
                <w:szCs w:val="21"/>
              </w:rPr>
              <w:t>湖南农业大学</w:t>
            </w:r>
          </w:p>
        </w:tc>
        <w:tc>
          <w:tcPr>
            <w:tcW w:w="1040"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bCs/>
                <w:sz w:val="21"/>
                <w:szCs w:val="21"/>
              </w:rPr>
            </w:pPr>
            <w:r>
              <w:rPr>
                <w:rFonts w:hint="eastAsia" w:ascii="Times New Roman" w:hAnsi="Times New Roman" w:eastAsia="宋体" w:cs="宋体"/>
                <w:sz w:val="21"/>
                <w:szCs w:val="21"/>
              </w:rPr>
              <w:t>2009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67"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6</w:t>
            </w:r>
          </w:p>
        </w:tc>
        <w:tc>
          <w:tcPr>
            <w:tcW w:w="2044"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bCs/>
                <w:sz w:val="21"/>
                <w:szCs w:val="21"/>
              </w:rPr>
            </w:pPr>
            <w:r>
              <w:rPr>
                <w:rFonts w:hint="eastAsia" w:ascii="Times New Roman" w:hAnsi="Times New Roman" w:eastAsia="宋体" w:cs="宋体"/>
                <w:bCs/>
                <w:sz w:val="21"/>
                <w:szCs w:val="21"/>
              </w:rPr>
              <w:t>校级平台</w:t>
            </w:r>
          </w:p>
        </w:tc>
        <w:tc>
          <w:tcPr>
            <w:tcW w:w="296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湖南农业大学通识教育中心</w:t>
            </w:r>
          </w:p>
        </w:tc>
        <w:tc>
          <w:tcPr>
            <w:tcW w:w="1581"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湖南农业大学</w:t>
            </w:r>
          </w:p>
        </w:tc>
        <w:tc>
          <w:tcPr>
            <w:tcW w:w="1040"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2020</w:t>
            </w:r>
          </w:p>
        </w:tc>
      </w:tr>
    </w:tbl>
    <w:p>
      <w:pPr>
        <w:keepNext w:val="0"/>
        <w:keepLines w:val="0"/>
        <w:pageBreakBefore w:val="0"/>
        <w:widowControl w:val="0"/>
        <w:kinsoku/>
        <w:wordWrap/>
        <w:overflowPunct/>
        <w:topLinePunct w:val="0"/>
        <w:autoSpaceDE/>
        <w:autoSpaceDN/>
        <w:bidi w:val="0"/>
        <w:adjustRightInd/>
        <w:snapToGrid/>
        <w:spacing w:line="520" w:lineRule="exact"/>
        <w:ind w:firstLine="557" w:firstLineChars="198"/>
        <w:textAlignment w:val="auto"/>
        <w:rPr>
          <w:rFonts w:hint="eastAsia" w:ascii="Times New Roman" w:hAnsi="Times New Roman"/>
          <w:color w:val="000000"/>
          <w:sz w:val="28"/>
          <w:szCs w:val="28"/>
        </w:rPr>
      </w:pPr>
      <w:r>
        <w:rPr>
          <w:rFonts w:hint="default" w:ascii="Times New Roman" w:hAnsi="Times New Roman" w:cs="Times New Roman"/>
          <w:b/>
          <w:color w:val="000000"/>
          <w:sz w:val="28"/>
          <w:szCs w:val="28"/>
          <w:lang w:val="en-US" w:eastAsia="zh-CN"/>
        </w:rPr>
        <w:t>4.2</w:t>
      </w:r>
      <w:r>
        <w:rPr>
          <w:rFonts w:hint="eastAsia"/>
          <w:b/>
          <w:color w:val="000000"/>
          <w:sz w:val="28"/>
          <w:szCs w:val="28"/>
        </w:rPr>
        <w:t>图书资料</w:t>
      </w:r>
    </w:p>
    <w:p>
      <w:pPr>
        <w:widowControl/>
        <w:spacing w:line="560" w:lineRule="exact"/>
        <w:ind w:firstLine="560" w:firstLineChars="200"/>
        <w:rPr>
          <w:rFonts w:hint="eastAsia" w:ascii="Times New Roman" w:hAnsi="Times New Roman"/>
          <w:color w:val="000000"/>
          <w:sz w:val="28"/>
          <w:szCs w:val="28"/>
        </w:rPr>
      </w:pPr>
      <w:r>
        <w:rPr>
          <w:rFonts w:hint="eastAsia" w:ascii="Times New Roman" w:hAnsi="Times New Roman"/>
          <w:color w:val="000000"/>
          <w:sz w:val="28"/>
          <w:szCs w:val="28"/>
        </w:rPr>
        <w:t>学院资料室藏书2万余册，外文原版期刊23种，订有包括《外语教学与研究》、《中国翻译》、《外国语》等专业刊物在内的国内期刊9</w:t>
      </w:r>
      <w:r>
        <w:rPr>
          <w:rFonts w:hint="eastAsia" w:ascii="Times New Roman" w:hAnsi="Times New Roman"/>
          <w:color w:val="000000"/>
          <w:sz w:val="28"/>
          <w:szCs w:val="28"/>
          <w:lang w:val="en-US" w:eastAsia="zh-CN"/>
        </w:rPr>
        <w:t>0余</w:t>
      </w:r>
      <w:r>
        <w:rPr>
          <w:rFonts w:hint="eastAsia" w:ascii="Times New Roman" w:hAnsi="Times New Roman"/>
          <w:color w:val="000000"/>
          <w:sz w:val="28"/>
          <w:szCs w:val="28"/>
        </w:rPr>
        <w:t>种。包括口译音、视频资料和翻译案例库在内的电子资源5.5T。同时，学校图书馆资源丰富，能够满足本学科研究生学习和科研需要。</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宋体"/>
          <w:b/>
          <w:bCs w:val="0"/>
          <w:sz w:val="28"/>
          <w:szCs w:val="28"/>
          <w:lang w:val="en-US" w:eastAsia="zh-CN"/>
        </w:rPr>
      </w:pPr>
      <w:r>
        <w:rPr>
          <w:rFonts w:hint="eastAsia" w:ascii="Times New Roman" w:hAnsi="Times New Roman" w:eastAsia="宋体" w:cs="宋体"/>
          <w:b/>
          <w:bCs w:val="0"/>
          <w:color w:val="000000"/>
          <w:sz w:val="28"/>
          <w:szCs w:val="28"/>
          <w:lang w:val="en-US" w:eastAsia="zh-CN"/>
        </w:rPr>
        <w:t>4.3实验室建设</w:t>
      </w:r>
    </w:p>
    <w:p>
      <w:pPr>
        <w:widowControl/>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2021年，学院</w:t>
      </w:r>
      <w:r>
        <w:rPr>
          <w:rFonts w:hint="eastAsia" w:ascii="宋体" w:hAnsi="宋体" w:eastAsia="宋体" w:cs="宋体"/>
          <w:sz w:val="28"/>
          <w:szCs w:val="28"/>
        </w:rPr>
        <w:t>更新改造4间语音实验室，共增加设备数529台/件，投入金额为168.9万元</w:t>
      </w:r>
      <w:r>
        <w:rPr>
          <w:rFonts w:hint="eastAsia" w:ascii="宋体" w:hAnsi="宋体" w:eastAsia="宋体" w:cs="宋体"/>
          <w:sz w:val="28"/>
          <w:szCs w:val="28"/>
          <w:lang w:eastAsia="zh-CN"/>
        </w:rPr>
        <w:t>。</w:t>
      </w:r>
      <w:r>
        <w:rPr>
          <w:rFonts w:hint="eastAsia" w:ascii="宋体" w:hAnsi="宋体"/>
          <w:color w:val="000000"/>
          <w:sz w:val="28"/>
          <w:szCs w:val="28"/>
        </w:rPr>
        <w:t>拥有口译实训室1间，笔译实训室1间，同声传译室1间，硕士点专用机房</w:t>
      </w:r>
      <w:r>
        <w:rPr>
          <w:rFonts w:hint="eastAsia" w:ascii="宋体" w:hAnsi="宋体"/>
          <w:color w:val="000000"/>
          <w:sz w:val="28"/>
          <w:szCs w:val="28"/>
          <w:lang w:val="en-US" w:eastAsia="zh-CN"/>
        </w:rPr>
        <w:t>2</w:t>
      </w:r>
      <w:r>
        <w:rPr>
          <w:rFonts w:hint="eastAsia" w:ascii="宋体" w:hAnsi="宋体"/>
          <w:color w:val="000000"/>
          <w:sz w:val="28"/>
          <w:szCs w:val="28"/>
        </w:rPr>
        <w:t>间，多媒体教室和讨论室共</w:t>
      </w:r>
      <w:r>
        <w:rPr>
          <w:rFonts w:hint="eastAsia" w:ascii="宋体" w:hAnsi="宋体"/>
          <w:color w:val="000000"/>
          <w:sz w:val="28"/>
          <w:szCs w:val="28"/>
          <w:lang w:val="en-US" w:eastAsia="zh-CN"/>
        </w:rPr>
        <w:t>50</w:t>
      </w:r>
      <w:r>
        <w:rPr>
          <w:rFonts w:hint="eastAsia" w:ascii="宋体" w:hAnsi="宋体"/>
          <w:color w:val="000000"/>
          <w:sz w:val="28"/>
          <w:szCs w:val="28"/>
        </w:rPr>
        <w:t>间，其中学位点实验室总面积达</w:t>
      </w:r>
      <w:r>
        <w:rPr>
          <w:rFonts w:ascii="宋体" w:hAnsi="宋体"/>
          <w:color w:val="000000"/>
          <w:sz w:val="28"/>
          <w:szCs w:val="28"/>
        </w:rPr>
        <w:t>1047.08</w:t>
      </w:r>
      <w:r>
        <w:rPr>
          <w:rFonts w:hint="eastAsia" w:ascii="宋体" w:hAnsi="宋体"/>
          <w:color w:val="000000"/>
          <w:sz w:val="28"/>
          <w:szCs w:val="28"/>
        </w:rPr>
        <w:t>平方米，最大实验室面积127.79平方米。</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line="520" w:lineRule="exact"/>
        <w:ind w:firstLine="562" w:firstLineChars="200"/>
        <w:jc w:val="both"/>
        <w:textAlignment w:val="auto"/>
        <w:outlineLvl w:val="9"/>
        <w:rPr>
          <w:rFonts w:hint="eastAsia" w:ascii="Times New Roman" w:hAnsi="Times New Roman" w:eastAsia="黑体" w:cs="黑体"/>
          <w:b/>
          <w:bCs/>
          <w:sz w:val="28"/>
          <w:szCs w:val="28"/>
        </w:rPr>
      </w:pPr>
      <w:r>
        <w:rPr>
          <w:rFonts w:hint="eastAsia" w:ascii="Times New Roman" w:hAnsi="Times New Roman" w:eastAsia="黑体" w:cs="黑体"/>
          <w:b/>
          <w:bCs/>
          <w:sz w:val="28"/>
          <w:szCs w:val="28"/>
        </w:rPr>
        <w:t>奖助体系</w:t>
      </w:r>
    </w:p>
    <w:p>
      <w:pPr>
        <w:pStyle w:val="2"/>
        <w:rPr>
          <w:rFonts w:hint="eastAsia" w:ascii="Times New Roman" w:hAnsi="Times New Roman"/>
          <w:lang w:val="en-US" w:eastAsia="zh-CN"/>
        </w:rPr>
      </w:pPr>
      <w:r>
        <w:rPr>
          <w:rFonts w:hint="eastAsia" w:ascii="Times New Roman" w:hAnsi="Times New Roman" w:eastAsiaTheme="minorEastAsia" w:cstheme="minorBidi"/>
          <w:color w:val="000000"/>
          <w:kern w:val="2"/>
          <w:sz w:val="28"/>
          <w:szCs w:val="28"/>
          <w:lang w:val="en-US" w:eastAsia="zh-CN" w:bidi="ar-SA"/>
        </w:rPr>
        <w:t>学校具有完善的奖助学金体系，包括：国家奖学金、优秀生源奖学金、学业奖学金、优秀研究生干部奖学金、科研成就奖学金；国家助学金、“三助一辅”津贴、贫困助学金；优秀学位论文奖励及竞赛配套奖励等；其中，在籍全日制脱产硕士研究生学业奖学金比率达到90%，助学金比率达到100%；同时，学院对在籍全日制脱产硕士研究生在全国外文核心或CSSCI期刊上发表学术论文者奖励2000元/篇。学院专门成立了评定工作小组，拟定相关评审细则，并提交学院学术委员会审议推荐，确保研究生奖助工作的公平、公开、公正。</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line="520" w:lineRule="exact"/>
        <w:ind w:left="0" w:leftChars="0" w:firstLine="562" w:firstLineChars="200"/>
        <w:jc w:val="both"/>
        <w:textAlignment w:val="auto"/>
        <w:outlineLvl w:val="9"/>
        <w:rPr>
          <w:rFonts w:hint="eastAsia" w:ascii="Times New Roman" w:hAnsi="Times New Roman" w:eastAsia="宋体" w:cs="宋体"/>
          <w:sz w:val="28"/>
          <w:szCs w:val="28"/>
        </w:rPr>
      </w:pPr>
      <w:r>
        <w:rPr>
          <w:rFonts w:hint="eastAsia" w:ascii="Times New Roman" w:hAnsi="Times New Roman" w:eastAsia="黑体" w:cs="黑体"/>
          <w:b/>
          <w:bCs/>
          <w:sz w:val="28"/>
          <w:szCs w:val="28"/>
        </w:rPr>
        <w:t>教</w:t>
      </w:r>
      <w:r>
        <w:rPr>
          <w:rFonts w:hint="eastAsia" w:ascii="Times New Roman" w:hAnsi="Times New Roman" w:eastAsia="黑体" w:cs="黑体"/>
          <w:b/>
          <w:bCs/>
          <w:sz w:val="28"/>
          <w:szCs w:val="28"/>
          <w:lang w:val="en-US" w:eastAsia="zh-CN"/>
        </w:rPr>
        <w:t>研</w:t>
      </w:r>
      <w:r>
        <w:rPr>
          <w:rFonts w:hint="eastAsia" w:ascii="Times New Roman" w:hAnsi="Times New Roman" w:eastAsia="黑体" w:cs="黑体"/>
          <w:b/>
          <w:bCs/>
          <w:sz w:val="28"/>
          <w:szCs w:val="28"/>
        </w:rPr>
        <w:t>教改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sz w:val="28"/>
          <w:szCs w:val="28"/>
          <w:lang w:val="en-US" w:eastAsia="zh-CN"/>
        </w:rPr>
      </w:pPr>
      <w:r>
        <w:rPr>
          <w:rFonts w:hint="eastAsia" w:ascii="Times New Roman" w:hAnsi="Times New Roman"/>
          <w:sz w:val="28"/>
          <w:szCs w:val="28"/>
          <w:lang w:val="en-US" w:eastAsia="zh-CN"/>
        </w:rPr>
        <w:t>在教研教改项目方面，学科积极推进省、校级教改项目的申报，本年度已推荐省、校级项目7项，其中，省、校级学位与研究生教学改革研究项目立项各1项，湖南省普通高等学校教学改革研究项目立项5项；在教学成果申报方面，组织申报4项湖南农业大学教学成果奖项目，其中研究生项目1项，本科教育3项；推荐参评校级优秀硕士学位论文3篇；2个团队分别获湖南省课程思政比赛二等奖和三等奖；2人获校级教育技术应用能力竞赛一等奖，3人获校级教育技术应用能力竞赛二等奖，学院荣获湖南农业大学教育技术应用能力竞赛最佳组织奖；《英语翻译理论与实践》、《英语写作》2门课程已被评为湖南省一流课程。</w:t>
      </w:r>
    </w:p>
    <w:p>
      <w:pPr>
        <w:pStyle w:val="2"/>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表4 教学成果奖获奖汇总</w:t>
      </w:r>
    </w:p>
    <w:tbl>
      <w:tblPr>
        <w:tblStyle w:val="8"/>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968"/>
        <w:gridCol w:w="3600"/>
        <w:gridCol w:w="1248"/>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color w:val="auto"/>
                <w:kern w:val="2"/>
                <w:sz w:val="21"/>
                <w:szCs w:val="21"/>
                <w:vertAlign w:val="baseline"/>
                <w:lang w:val="en-US" w:eastAsia="zh-CN" w:bidi="ar-SA"/>
              </w:rPr>
            </w:pPr>
            <w:r>
              <w:rPr>
                <w:rFonts w:hint="eastAsia" w:ascii="黑体" w:hAnsi="黑体" w:eastAsia="黑体" w:cs="黑体"/>
                <w:b/>
                <w:bCs/>
                <w:color w:val="auto"/>
                <w:kern w:val="2"/>
                <w:sz w:val="21"/>
                <w:szCs w:val="21"/>
                <w:vertAlign w:val="baseline"/>
                <w:lang w:val="en-US" w:eastAsia="zh-CN" w:bidi="ar-SA"/>
              </w:rPr>
              <w:t>序号</w:t>
            </w:r>
          </w:p>
        </w:tc>
        <w:tc>
          <w:tcPr>
            <w:tcW w:w="196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color w:val="auto"/>
                <w:kern w:val="2"/>
                <w:sz w:val="21"/>
                <w:szCs w:val="21"/>
                <w:vertAlign w:val="baseline"/>
                <w:lang w:val="en-US" w:eastAsia="zh-CN" w:bidi="ar-SA"/>
              </w:rPr>
            </w:pPr>
            <w:r>
              <w:rPr>
                <w:rFonts w:hint="eastAsia" w:ascii="黑体" w:hAnsi="黑体" w:eastAsia="黑体" w:cs="黑体"/>
                <w:b/>
                <w:bCs/>
                <w:color w:val="auto"/>
                <w:kern w:val="2"/>
                <w:sz w:val="21"/>
                <w:szCs w:val="21"/>
                <w:vertAlign w:val="baseline"/>
                <w:lang w:val="en-US" w:eastAsia="zh-CN" w:bidi="ar-SA"/>
              </w:rPr>
              <w:t>奖项名称</w:t>
            </w:r>
          </w:p>
        </w:tc>
        <w:tc>
          <w:tcPr>
            <w:tcW w:w="36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color w:val="auto"/>
                <w:kern w:val="2"/>
                <w:sz w:val="21"/>
                <w:szCs w:val="21"/>
                <w:vertAlign w:val="baseline"/>
                <w:lang w:val="en-US" w:eastAsia="zh-CN" w:bidi="ar-SA"/>
              </w:rPr>
            </w:pPr>
            <w:r>
              <w:rPr>
                <w:rFonts w:hint="eastAsia" w:ascii="黑体" w:hAnsi="黑体" w:eastAsia="黑体" w:cs="黑体"/>
                <w:b/>
                <w:bCs/>
                <w:color w:val="auto"/>
                <w:kern w:val="2"/>
                <w:sz w:val="21"/>
                <w:szCs w:val="21"/>
                <w:vertAlign w:val="baseline"/>
                <w:lang w:val="en-US" w:eastAsia="zh-CN" w:bidi="ar-SA"/>
              </w:rPr>
              <w:t>项目名称</w:t>
            </w:r>
          </w:p>
        </w:tc>
        <w:tc>
          <w:tcPr>
            <w:tcW w:w="124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color w:val="auto"/>
                <w:kern w:val="2"/>
                <w:sz w:val="21"/>
                <w:szCs w:val="21"/>
                <w:vertAlign w:val="baseline"/>
                <w:lang w:val="en-US" w:eastAsia="zh-CN" w:bidi="ar-SA"/>
              </w:rPr>
            </w:pPr>
            <w:r>
              <w:rPr>
                <w:rFonts w:hint="eastAsia" w:ascii="黑体" w:hAnsi="黑体" w:eastAsia="黑体" w:cs="黑体"/>
                <w:b/>
                <w:bCs/>
                <w:color w:val="auto"/>
                <w:kern w:val="2"/>
                <w:sz w:val="21"/>
                <w:szCs w:val="21"/>
                <w:vertAlign w:val="baseline"/>
                <w:lang w:val="en-US" w:eastAsia="zh-CN" w:bidi="ar-SA"/>
              </w:rPr>
              <w:t>获奖等级</w:t>
            </w:r>
          </w:p>
        </w:tc>
        <w:tc>
          <w:tcPr>
            <w:tcW w:w="110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color w:val="auto"/>
                <w:kern w:val="2"/>
                <w:sz w:val="21"/>
                <w:szCs w:val="21"/>
                <w:vertAlign w:val="baseline"/>
                <w:lang w:val="en-US" w:eastAsia="zh-CN" w:bidi="ar-SA"/>
              </w:rPr>
            </w:pPr>
            <w:r>
              <w:rPr>
                <w:rFonts w:hint="eastAsia" w:ascii="黑体" w:hAnsi="黑体" w:eastAsia="黑体" w:cs="黑体"/>
                <w:b/>
                <w:bCs/>
                <w:color w:val="auto"/>
                <w:kern w:val="2"/>
                <w:sz w:val="21"/>
                <w:szCs w:val="21"/>
                <w:vertAlign w:val="baseline"/>
                <w:lang w:val="en-US" w:eastAsia="zh-CN" w:bidi="ar-SA"/>
              </w:rPr>
              <w:t>单位排名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1</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湖南农业大学第</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十三届教学成果奖</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Cs/>
                <w:kern w:val="0"/>
                <w:sz w:val="21"/>
                <w:szCs w:val="21"/>
              </w:rPr>
              <w:t>传承与突破：“中国文化走出去”背景下农业院校外语专业研究生培养路径思考</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一等奖</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湖南农业大学第</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十三届教学成果奖</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Cs/>
                <w:kern w:val="0"/>
                <w:sz w:val="21"/>
                <w:szCs w:val="21"/>
              </w:rPr>
              <w:t>典籍翻译：大学英语翻译教学中的中国文化渗透途径研究</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一等奖</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3</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湖南农业大学第</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十三届教学成果奖</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基</w:t>
            </w:r>
            <w:r>
              <w:rPr>
                <w:rFonts w:hint="eastAsia" w:ascii="宋体" w:hAnsi="宋体" w:eastAsia="宋体" w:cs="宋体"/>
                <w:bCs/>
                <w:kern w:val="0"/>
                <w:sz w:val="21"/>
                <w:szCs w:val="21"/>
              </w:rPr>
              <w:t>于“四导四化”的成人高等教育学生思政育人体系的研究与实践</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Cs/>
                <w:kern w:val="0"/>
                <w:sz w:val="21"/>
                <w:szCs w:val="21"/>
                <w:lang w:val="en-US" w:eastAsia="zh-CN"/>
              </w:rPr>
              <w:t>一等奖</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4</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湖南农业大学第</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十三届教学成果奖</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Cs/>
                <w:kern w:val="0"/>
                <w:sz w:val="21"/>
                <w:szCs w:val="21"/>
              </w:rPr>
              <w:t>基于学生满意度的大学英语教育服务质量评价体系研究与实践</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二等奖</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5</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湖南农业大学第</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十三届教学成果奖</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Cs/>
                <w:kern w:val="0"/>
                <w:sz w:val="21"/>
                <w:szCs w:val="21"/>
              </w:rPr>
              <w:t>基于慕课的大学英语翻转课堂教学模式研究与实践</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三等奖</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第一</w:t>
            </w:r>
          </w:p>
        </w:tc>
      </w:tr>
    </w:tbl>
    <w:p>
      <w:pPr>
        <w:keepNext w:val="0"/>
        <w:keepLines w:val="0"/>
        <w:pageBreakBefore w:val="0"/>
        <w:widowControl w:val="0"/>
        <w:kinsoku/>
        <w:wordWrap/>
        <w:overflowPunct/>
        <w:topLinePunct w:val="0"/>
        <w:autoSpaceDE/>
        <w:autoSpaceDN/>
        <w:bidi w:val="0"/>
        <w:adjustRightInd/>
        <w:snapToGrid/>
        <w:spacing w:before="157" w:beforeLines="50" w:line="520" w:lineRule="exact"/>
        <w:ind w:firstLine="482" w:firstLineChars="200"/>
        <w:jc w:val="center"/>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b/>
          <w:bCs/>
          <w:color w:val="auto"/>
          <w:kern w:val="2"/>
          <w:sz w:val="24"/>
          <w:szCs w:val="24"/>
          <w:lang w:val="en-US" w:eastAsia="zh-CN" w:bidi="ar-SA"/>
        </w:rPr>
        <w:t>表5 校级优秀硕士学位论文推荐汇总</w:t>
      </w:r>
    </w:p>
    <w:tbl>
      <w:tblPr>
        <w:tblStyle w:val="8"/>
        <w:tblW w:w="0" w:type="auto"/>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68"/>
        <w:gridCol w:w="378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9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196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学生姓名</w:t>
            </w:r>
          </w:p>
        </w:tc>
        <w:tc>
          <w:tcPr>
            <w:tcW w:w="378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论文题目</w:t>
            </w:r>
          </w:p>
        </w:tc>
        <w:tc>
          <w:tcPr>
            <w:tcW w:w="2131"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6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罗莉婕</w:t>
            </w:r>
          </w:p>
        </w:tc>
        <w:tc>
          <w:tcPr>
            <w:tcW w:w="378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1"/>
                <w:szCs w:val="21"/>
                <w:vertAlign w:val="baseline"/>
                <w:lang w:val="en-US" w:eastAsia="zh-CN"/>
              </w:rPr>
            </w:pPr>
            <w:r>
              <w:rPr>
                <w:rStyle w:val="12"/>
                <w:rFonts w:hint="eastAsia" w:ascii="宋体" w:hAnsi="宋体" w:eastAsia="宋体" w:cs="宋体"/>
                <w:sz w:val="21"/>
                <w:szCs w:val="21"/>
                <w:lang w:val="en-US" w:eastAsia="zh-CN" w:bidi="ar"/>
              </w:rPr>
              <w:t>生态翻译学视角下《茶经》英译本研究</w:t>
            </w:r>
            <w:r>
              <w:rPr>
                <w:rStyle w:val="13"/>
                <w:rFonts w:hint="eastAsia" w:ascii="宋体" w:hAnsi="宋体" w:eastAsia="宋体" w:cs="宋体"/>
                <w:sz w:val="21"/>
                <w:szCs w:val="21"/>
                <w:lang w:val="en-US" w:eastAsia="zh-CN" w:bidi="ar"/>
              </w:rPr>
              <w:t xml:space="preserve"> ——</w:t>
            </w:r>
            <w:r>
              <w:rPr>
                <w:rStyle w:val="12"/>
                <w:rFonts w:hint="eastAsia" w:ascii="宋体" w:hAnsi="宋体" w:eastAsia="宋体" w:cs="宋体"/>
                <w:sz w:val="21"/>
                <w:szCs w:val="21"/>
                <w:lang w:val="en-US" w:eastAsia="zh-CN" w:bidi="ar"/>
              </w:rPr>
              <w:t>以姜欣、姜怡译本为例</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张春辉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9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6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戴果</w:t>
            </w:r>
          </w:p>
        </w:tc>
        <w:tc>
          <w:tcPr>
            <w:tcW w:w="378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语域理论下微语言的语用价值研究</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周芬芬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6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曹晶晶</w:t>
            </w:r>
          </w:p>
        </w:tc>
        <w:tc>
          <w:tcPr>
            <w:tcW w:w="378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象似性视角下英语影视歌曲汉译研究</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郭滨</w:t>
            </w:r>
          </w:p>
        </w:tc>
      </w:tr>
    </w:tbl>
    <w:p>
      <w:pPr>
        <w:keepNext w:val="0"/>
        <w:keepLines w:val="0"/>
        <w:pageBreakBefore w:val="0"/>
        <w:widowControl/>
        <w:kinsoku/>
        <w:wordWrap/>
        <w:overflowPunct/>
        <w:topLinePunct w:val="0"/>
        <w:autoSpaceDE/>
        <w:autoSpaceDN/>
        <w:bidi w:val="0"/>
        <w:adjustRightInd/>
        <w:snapToGrid/>
        <w:spacing w:before="157" w:beforeLines="50" w:after="157" w:afterLines="50" w:line="520" w:lineRule="exact"/>
        <w:jc w:val="both"/>
        <w:textAlignment w:val="auto"/>
        <w:outlineLvl w:val="9"/>
        <w:rPr>
          <w:rFonts w:hint="eastAsia" w:ascii="Times New Roman" w:hAnsi="Times New Roman" w:eastAsia="黑体" w:cs="黑体"/>
          <w:b/>
          <w:bCs w:val="0"/>
          <w:sz w:val="30"/>
          <w:szCs w:val="30"/>
          <w:lang w:val="en-US" w:eastAsia="zh-CN"/>
        </w:rPr>
      </w:pPr>
      <w:r>
        <w:rPr>
          <w:rFonts w:hint="eastAsia" w:ascii="Times New Roman" w:hAnsi="Times New Roman" w:eastAsia="黑体" w:cs="黑体"/>
          <w:b/>
          <w:bCs w:val="0"/>
          <w:sz w:val="30"/>
          <w:szCs w:val="30"/>
          <w:lang w:val="en-US" w:eastAsia="zh-CN"/>
        </w:rPr>
        <w:t xml:space="preserve">三、人才培养  </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140" w:leftChars="0" w:firstLine="420" w:firstLineChars="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相关制度及执行情况</w:t>
      </w:r>
    </w:p>
    <w:p>
      <w:pPr>
        <w:pStyle w:val="14"/>
        <w:shd w:val="clear" w:color="auto" w:fill="auto"/>
        <w:jc w:val="both"/>
        <w:rPr>
          <w:rFonts w:ascii="Times New Roman" w:hAnsi="Times New Roman" w:cs="Times New Roman"/>
          <w:color w:val="000000"/>
        </w:rPr>
      </w:pPr>
      <w:r>
        <w:rPr>
          <w:rFonts w:ascii="Times New Roman" w:hAnsi="Times New Roman" w:cs="Times New Roman"/>
          <w:color w:val="000000"/>
        </w:rPr>
        <w:t>学院针对师德师风建设制定了系列文件</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包括</w:t>
      </w:r>
      <w:r>
        <w:rPr>
          <w:rFonts w:ascii="Times New Roman" w:hAnsi="Times New Roman" w:cs="Times New Roman"/>
          <w:color w:val="000000"/>
        </w:rPr>
        <w:t>《学院教师职业道德规范》、《学院专任教师岗位职责和目标》</w:t>
      </w:r>
      <w:r>
        <w:rPr>
          <w:rFonts w:hint="eastAsia" w:ascii="Times New Roman" w:hAnsi="Times New Roman" w:cs="Times New Roman"/>
          <w:color w:val="000000"/>
          <w:lang w:val="en-US" w:eastAsia="zh-CN"/>
        </w:rPr>
        <w:t>、</w:t>
      </w:r>
      <w:r>
        <w:rPr>
          <w:rFonts w:ascii="Times New Roman" w:hAnsi="Times New Roman" w:cs="Times New Roman"/>
          <w:color w:val="000000"/>
        </w:rPr>
        <w:t>《学院教学基层组织管理工作条例》、《学院课堂教学管理规定》、《考试工作管理办法》、《教学考核与教学事故处理的规定》以及《学院关于做好课堂教学评价工作的通知》</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人文与外语学院硕士研究生培养指导手册</w:t>
      </w:r>
      <w:r>
        <w:rPr>
          <w:rFonts w:hint="eastAsia" w:ascii="Times New Roman" w:hAnsi="Times New Roman" w:cs="Times New Roman"/>
          <w:color w:val="000000"/>
          <w:lang w:eastAsia="zh-CN"/>
        </w:rPr>
        <w:t>》</w:t>
      </w:r>
      <w:r>
        <w:rPr>
          <w:rFonts w:ascii="Times New Roman" w:hAnsi="Times New Roman" w:cs="Times New Roman"/>
          <w:color w:val="000000"/>
        </w:rPr>
        <w:t>等</w:t>
      </w:r>
      <w:r>
        <w:rPr>
          <w:rFonts w:hint="eastAsia" w:ascii="Times New Roman" w:hAnsi="Times New Roman" w:cs="Times New Roman"/>
          <w:color w:val="000000"/>
          <w:lang w:eastAsia="zh-CN"/>
        </w:rPr>
        <w:t>，</w:t>
      </w:r>
      <w:r>
        <w:rPr>
          <w:rFonts w:ascii="Times New Roman" w:hAnsi="Times New Roman" w:cs="Times New Roman"/>
          <w:color w:val="000000"/>
        </w:rPr>
        <w:t>强化了对教师的师德师风考核。同时，学</w:t>
      </w:r>
      <w:r>
        <w:rPr>
          <w:rFonts w:hint="eastAsia" w:ascii="Times New Roman" w:hAnsi="Times New Roman" w:cs="Times New Roman"/>
          <w:color w:val="000000"/>
          <w:lang w:val="en-US" w:eastAsia="zh-CN"/>
        </w:rPr>
        <w:t>位</w:t>
      </w:r>
      <w:r>
        <w:rPr>
          <w:rFonts w:ascii="Times New Roman" w:hAnsi="Times New Roman" w:cs="Times New Roman"/>
          <w:color w:val="000000"/>
        </w:rPr>
        <w:t>点秉承立德树人理念，组织教师</w:t>
      </w:r>
      <w:r>
        <w:rPr>
          <w:rFonts w:hint="eastAsia" w:ascii="Times New Roman" w:hAnsi="Times New Roman" w:cs="Times New Roman"/>
          <w:color w:val="000000"/>
          <w:lang w:val="en-US" w:eastAsia="zh-CN"/>
        </w:rPr>
        <w:t>深入讨论</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习</w:t>
      </w:r>
      <w:r>
        <w:rPr>
          <w:rFonts w:ascii="Times New Roman" w:hAnsi="Times New Roman" w:cs="Times New Roman"/>
          <w:color w:val="000000"/>
        </w:rPr>
        <w:t>近平总书记关于</w:t>
      </w:r>
      <w:r>
        <w:rPr>
          <w:rFonts w:hint="eastAsia" w:ascii="Times New Roman" w:hAnsi="Times New Roman" w:cs="Times New Roman"/>
          <w:color w:val="000000"/>
          <w:lang w:val="en-US" w:eastAsia="zh-CN"/>
        </w:rPr>
        <w:t>研究生教育工作的重要指示</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、《李克强总理关于研究生教育工作的批示》、《关于加快新时代研究生教育改革发展的意见》、《国务院学位委员会 教育部关于进一步严格规范学位与研究生教育质量管理的若干意见》、《关于加强新时代高校教师队伍建设改革的指导意见》、《加强和改进涉农高校耕读教育工作方案》、《深化新时代教育评价改革总体方案》、《专业学位研究生教育发展方案（2020-2025）》等重要文件精神</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认真落实</w:t>
      </w:r>
      <w:r>
        <w:rPr>
          <w:rFonts w:ascii="Times New Roman" w:hAnsi="Times New Roman" w:cs="Times New Roman"/>
          <w:color w:val="000000"/>
        </w:rPr>
        <w:t>《湖南农业大学全面落实研究生导师立德树人职责实施细则》、</w:t>
      </w:r>
      <w:r>
        <w:rPr>
          <w:rFonts w:hint="eastAsia" w:ascii="Times New Roman" w:hAnsi="Times New Roman" w:cs="Times New Roman"/>
          <w:color w:val="000000"/>
        </w:rPr>
        <w:t>《湖南农业大学师德师风建设行动计划》、《湖南农业大学师德考核实施办法》、《湖南农业大学师德师风失范行为处理办法》</w:t>
      </w:r>
      <w:r>
        <w:rPr>
          <w:rFonts w:ascii="Times New Roman" w:hAnsi="Times New Roman" w:cs="Times New Roman"/>
          <w:color w:val="000000"/>
        </w:rPr>
        <w:t>等</w:t>
      </w:r>
      <w:r>
        <w:rPr>
          <w:rFonts w:hint="eastAsia" w:ascii="Times New Roman" w:hAnsi="Times New Roman" w:cs="Times New Roman"/>
          <w:color w:val="000000"/>
          <w:lang w:val="en-US" w:eastAsia="zh-CN"/>
        </w:rPr>
        <w:t>文件要求</w:t>
      </w:r>
      <w:r>
        <w:rPr>
          <w:rFonts w:ascii="Times New Roman" w:hAnsi="Times New Roman" w:cs="Times New Roman"/>
          <w:color w:val="000000"/>
        </w:rPr>
        <w:t>，强化教师的育德意识与育人责任，并充分意识到教师的品格修养是进行教育的基石，教师不仅是知识的传播者、智慧的启迪者、人格的影响者，也是道德的实践者和示范者。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color w:val="000000"/>
          <w:kern w:val="2"/>
          <w:sz w:val="28"/>
          <w:szCs w:val="22"/>
          <w:lang w:val="en-US" w:eastAsia="zh-CN" w:bidi="ar-SA"/>
        </w:rPr>
      </w:pPr>
      <w:r>
        <w:rPr>
          <w:rFonts w:hint="eastAsia" w:ascii="Times New Roman" w:hAnsi="Times New Roman" w:eastAsia="宋体" w:cs="Times New Roman"/>
          <w:color w:val="000000"/>
          <w:kern w:val="2"/>
          <w:sz w:val="28"/>
          <w:szCs w:val="22"/>
          <w:lang w:val="en-US" w:eastAsia="zh-CN" w:bidi="ar-SA"/>
        </w:rPr>
        <w:t>在培养环节，</w:t>
      </w:r>
      <w:r>
        <w:rPr>
          <w:rFonts w:hint="eastAsia" w:ascii="Times New Roman" w:hAnsi="Times New Roman" w:cs="Times New Roman"/>
          <w:color w:val="000000"/>
          <w:kern w:val="2"/>
          <w:sz w:val="28"/>
          <w:szCs w:val="22"/>
          <w:lang w:val="en-US" w:eastAsia="zh-CN" w:bidi="ar-SA"/>
        </w:rPr>
        <w:t>一是</w:t>
      </w:r>
      <w:r>
        <w:rPr>
          <w:rFonts w:hint="eastAsia" w:ascii="Times New Roman" w:hAnsi="Times New Roman" w:eastAsia="宋体" w:cs="Times New Roman"/>
          <w:color w:val="000000"/>
          <w:kern w:val="2"/>
          <w:sz w:val="28"/>
          <w:szCs w:val="22"/>
          <w:lang w:val="en-US" w:eastAsia="zh-CN" w:bidi="ar-SA"/>
        </w:rPr>
        <w:t>建立了校、院两级研究生教学质量监控体系。学校和学院确定了专门的研究生教学质量督导员，随堂听课，参与教学各个环节，并将评价结果及时上报学校、反馈给学院和任课教师</w:t>
      </w:r>
      <w:r>
        <w:rPr>
          <w:rFonts w:hint="eastAsia" w:ascii="Times New Roman" w:hAnsi="Times New Roman" w:cs="Times New Roman"/>
          <w:color w:val="000000"/>
          <w:kern w:val="2"/>
          <w:sz w:val="28"/>
          <w:szCs w:val="22"/>
          <w:lang w:val="en-US" w:eastAsia="zh-CN" w:bidi="ar-SA"/>
        </w:rPr>
        <w:t>；二是</w:t>
      </w:r>
      <w:r>
        <w:rPr>
          <w:rFonts w:hint="eastAsia" w:ascii="Times New Roman" w:hAnsi="Times New Roman" w:eastAsia="宋体" w:cs="Times New Roman"/>
          <w:color w:val="000000"/>
          <w:kern w:val="2"/>
          <w:sz w:val="28"/>
          <w:szCs w:val="22"/>
          <w:lang w:val="en-US" w:eastAsia="zh-CN" w:bidi="ar-SA"/>
        </w:rPr>
        <w:t>严格执行研究生课程教师准入制度</w:t>
      </w:r>
      <w:r>
        <w:rPr>
          <w:rFonts w:hint="eastAsia" w:ascii="Times New Roman" w:hAnsi="Times New Roman" w:cs="Times New Roman"/>
          <w:color w:val="000000"/>
          <w:kern w:val="2"/>
          <w:sz w:val="28"/>
          <w:szCs w:val="22"/>
          <w:lang w:val="en-US" w:eastAsia="zh-CN" w:bidi="ar-SA"/>
        </w:rPr>
        <w:t>，</w:t>
      </w:r>
      <w:r>
        <w:rPr>
          <w:rFonts w:hint="eastAsia" w:ascii="Times New Roman" w:hAnsi="Times New Roman" w:eastAsia="宋体" w:cs="Times New Roman"/>
          <w:color w:val="000000"/>
          <w:kern w:val="2"/>
          <w:sz w:val="28"/>
          <w:szCs w:val="22"/>
          <w:lang w:val="en-US" w:eastAsia="zh-CN" w:bidi="ar-SA"/>
        </w:rPr>
        <w:t>所有新开研究生课程的教师均需经校、院、学科三级专家和教学管理人员组成的专家组试讲通过后方能担任主讲教师</w:t>
      </w:r>
      <w:r>
        <w:rPr>
          <w:rFonts w:hint="eastAsia" w:ascii="Times New Roman" w:hAnsi="Times New Roman" w:cs="Times New Roman"/>
          <w:color w:val="000000"/>
          <w:kern w:val="2"/>
          <w:sz w:val="28"/>
          <w:szCs w:val="22"/>
          <w:lang w:val="en-US" w:eastAsia="zh-CN" w:bidi="ar-SA"/>
        </w:rPr>
        <w:t>；三是严格落实分流淘汰机制，</w:t>
      </w:r>
      <w:r>
        <w:rPr>
          <w:rFonts w:hint="eastAsia" w:ascii="Times New Roman" w:hAnsi="Times New Roman" w:eastAsia="宋体" w:cs="Times New Roman"/>
          <w:color w:val="000000"/>
          <w:kern w:val="2"/>
          <w:sz w:val="28"/>
          <w:szCs w:val="22"/>
          <w:lang w:val="en-US" w:eastAsia="zh-CN" w:bidi="ar-SA"/>
        </w:rPr>
        <w:t>实施研究生中期考核制度，合格则进入学位论文实施阶段，不合格者则进行整改，整改不到位者作退学处理。</w:t>
      </w:r>
      <w:r>
        <w:rPr>
          <w:rFonts w:hint="eastAsia" w:ascii="Times New Roman" w:hAnsi="Times New Roman" w:cs="Times New Roman"/>
          <w:color w:val="000000"/>
          <w:kern w:val="2"/>
          <w:sz w:val="28"/>
          <w:szCs w:val="22"/>
          <w:lang w:val="en-US" w:eastAsia="zh-CN" w:bidi="ar-SA"/>
        </w:rPr>
        <w:t>本年度中期考核13人全部合格，其中，优秀3人。2021</w:t>
      </w:r>
      <w:r>
        <w:rPr>
          <w:rFonts w:hint="eastAsia" w:ascii="Times New Roman" w:hAnsi="Times New Roman" w:eastAsia="宋体" w:cs="Times New Roman"/>
          <w:color w:val="000000"/>
          <w:kern w:val="2"/>
          <w:sz w:val="28"/>
          <w:szCs w:val="22"/>
          <w:lang w:val="en-US" w:eastAsia="zh-CN" w:bidi="ar-SA"/>
        </w:rPr>
        <w:t>年共毕业</w:t>
      </w:r>
      <w:r>
        <w:rPr>
          <w:rFonts w:hint="eastAsia" w:ascii="Times New Roman" w:hAnsi="Times New Roman" w:cs="Times New Roman"/>
          <w:color w:val="000000"/>
          <w:kern w:val="2"/>
          <w:sz w:val="28"/>
          <w:szCs w:val="22"/>
          <w:lang w:val="en-US" w:eastAsia="zh-CN" w:bidi="ar-SA"/>
        </w:rPr>
        <w:t>10</w:t>
      </w:r>
      <w:r>
        <w:rPr>
          <w:rFonts w:hint="eastAsia" w:ascii="Times New Roman" w:hAnsi="Times New Roman" w:eastAsia="宋体" w:cs="Times New Roman"/>
          <w:color w:val="000000"/>
          <w:kern w:val="2"/>
          <w:sz w:val="28"/>
          <w:szCs w:val="22"/>
          <w:lang w:val="en-US" w:eastAsia="zh-CN" w:bidi="ar-SA"/>
        </w:rPr>
        <w:t>名全日制学术型硕士研究生，学位授予率100%。</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招生选拔</w:t>
      </w:r>
    </w:p>
    <w:p>
      <w:pPr>
        <w:pStyle w:val="2"/>
        <w:rPr>
          <w:rFonts w:hint="eastAsia" w:ascii="Times New Roman" w:hAnsi="Times New Roman" w:eastAsia="宋体" w:cs="宋体"/>
          <w:color w:val="000000"/>
          <w:sz w:val="28"/>
          <w:szCs w:val="28"/>
          <w:lang w:val="en-US" w:eastAsia="zh-CN"/>
        </w:rPr>
      </w:pPr>
      <w:r>
        <w:rPr>
          <w:rFonts w:hint="eastAsia" w:ascii="Times New Roman" w:hAnsi="Times New Roman" w:eastAsia="宋体" w:cs="宋体"/>
          <w:color w:val="000000"/>
          <w:sz w:val="28"/>
          <w:szCs w:val="28"/>
        </w:rPr>
        <w:t>学位点</w:t>
      </w:r>
      <w:r>
        <w:rPr>
          <w:rFonts w:hint="eastAsia" w:ascii="Times New Roman" w:hAnsi="Times New Roman" w:eastAsia="宋体" w:cs="宋体"/>
          <w:color w:val="000000"/>
          <w:sz w:val="28"/>
          <w:szCs w:val="28"/>
          <w:lang w:val="en-US" w:eastAsia="zh-CN"/>
        </w:rPr>
        <w:t>本年度招收</w:t>
      </w:r>
      <w:r>
        <w:rPr>
          <w:rFonts w:hint="eastAsia" w:ascii="Times New Roman" w:hAnsi="Times New Roman" w:eastAsia="宋体" w:cs="宋体"/>
          <w:color w:val="000000"/>
          <w:sz w:val="28"/>
          <w:szCs w:val="28"/>
        </w:rPr>
        <w:t>硕士研究生</w:t>
      </w:r>
      <w:r>
        <w:rPr>
          <w:rFonts w:hint="eastAsia" w:ascii="Times New Roman" w:hAnsi="Times New Roman" w:eastAsia="宋体" w:cs="宋体"/>
          <w:color w:val="000000"/>
          <w:sz w:val="28"/>
          <w:szCs w:val="28"/>
          <w:lang w:val="en-US" w:eastAsia="zh-CN"/>
        </w:rPr>
        <w:t>12人（含推免生1人），第一志愿报考29</w:t>
      </w:r>
      <w:r>
        <w:rPr>
          <w:rFonts w:hint="eastAsia" w:ascii="Times New Roman" w:hAnsi="Times New Roman" w:eastAsia="宋体" w:cs="宋体"/>
          <w:color w:val="000000"/>
          <w:sz w:val="28"/>
          <w:szCs w:val="28"/>
        </w:rPr>
        <w:t>人，</w:t>
      </w:r>
      <w:r>
        <w:rPr>
          <w:rFonts w:hint="eastAsia" w:ascii="Times New Roman" w:hAnsi="Times New Roman" w:eastAsia="宋体" w:cs="宋体"/>
          <w:color w:val="000000"/>
          <w:sz w:val="28"/>
          <w:szCs w:val="28"/>
          <w:lang w:val="en-US" w:eastAsia="zh-CN"/>
        </w:rPr>
        <w:t>推免生1人，共计30人；湖南本省生源11人，广东省1人，其中，校外生源录取2人。</w:t>
      </w:r>
    </w:p>
    <w:p>
      <w:pPr>
        <w:pStyle w:val="2"/>
        <w:rPr>
          <w:rFonts w:hint="default" w:ascii="Times New Roman" w:hAnsi="Times New Roman" w:eastAsia="宋体" w:cs="宋体"/>
          <w:sz w:val="28"/>
          <w:szCs w:val="28"/>
          <w:lang w:val="en-US" w:eastAsia="zh-CN"/>
        </w:rPr>
      </w:pPr>
      <w:r>
        <w:rPr>
          <w:rFonts w:hint="eastAsia" w:ascii="Times New Roman" w:hAnsi="Times New Roman" w:eastAsia="宋体" w:cs="宋体"/>
          <w:color w:val="000000"/>
          <w:sz w:val="28"/>
          <w:szCs w:val="28"/>
          <w:lang w:val="en-US" w:eastAsia="zh-CN"/>
        </w:rPr>
        <w:t>根据《教育部关于印发&lt;2021年全国硕士研究生招生工作管理规定&gt;的通知》（教学函〔2020〕8号）、《教育部高校学生司关于做好2021年全国硕士研究生招生录取工作的通知》（教学司〔2021〕2号）以及《湖南农业大学2021年硕士研究生招生复试录取工作方案》等文件的要求，本年度学位点招生复试工作统一采取网络远程复试方式。网络远程复试采用 “云视讯-云考场”（主平台）进行。本着“按需招生、全面衡量、择优录取、宁缺毋滥”的指导思想，坚持科学选拔、公开公平公正、全面考察和客观评价的工作原则，通过初试成绩（占总成绩70%）和网络复试成绩（思想政治素质、专业基础知识、外语听力和口语水平以及综合素质等，占总成绩30%）综合计算由高到低排名录取。</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3.党建和思想政治教育</w:t>
      </w:r>
    </w:p>
    <w:p>
      <w:pPr>
        <w:pStyle w:val="2"/>
        <w:rPr>
          <w:rFonts w:hint="default" w:ascii="Times New Roman" w:hAnsi="Times New Roman" w:eastAsia="宋体" w:cs="宋体"/>
          <w:b/>
          <w:bCs/>
          <w:sz w:val="28"/>
          <w:szCs w:val="28"/>
          <w:lang w:val="en-US" w:eastAsia="zh-CN"/>
        </w:rPr>
      </w:pPr>
      <w:r>
        <w:rPr>
          <w:rFonts w:hint="eastAsia" w:ascii="Times New Roman" w:hAnsi="Times New Roman" w:eastAsia="宋体" w:cs="宋体"/>
          <w:b/>
          <w:bCs/>
          <w:sz w:val="28"/>
          <w:szCs w:val="28"/>
          <w:lang w:val="en-US" w:eastAsia="zh-CN"/>
        </w:rPr>
        <w:t xml:space="preserve">3.1 </w:t>
      </w:r>
      <w:r>
        <w:rPr>
          <w:rFonts w:hint="eastAsia" w:ascii="Times New Roman" w:hAnsi="Times New Roman" w:eastAsia="宋体" w:cs="宋体"/>
          <w:b/>
          <w:bCs/>
          <w:sz w:val="28"/>
          <w:szCs w:val="28"/>
        </w:rPr>
        <w:t>坚持把立德树人</w:t>
      </w:r>
      <w:r>
        <w:rPr>
          <w:rFonts w:hint="eastAsia" w:ascii="Times New Roman" w:hAnsi="Times New Roman" w:eastAsia="宋体" w:cs="宋体"/>
          <w:b/>
          <w:bCs/>
          <w:sz w:val="28"/>
          <w:szCs w:val="28"/>
          <w:lang w:eastAsia="zh-CN"/>
        </w:rPr>
        <w:t>，</w:t>
      </w:r>
      <w:r>
        <w:rPr>
          <w:rFonts w:hint="eastAsia" w:ascii="Times New Roman" w:hAnsi="Times New Roman" w:eastAsia="宋体" w:cs="宋体"/>
          <w:b/>
          <w:bCs/>
          <w:sz w:val="28"/>
          <w:szCs w:val="28"/>
        </w:rPr>
        <w:t>落实领导责任制</w:t>
      </w:r>
    </w:p>
    <w:p>
      <w:pPr>
        <w:pStyle w:val="2"/>
        <w:rPr>
          <w:rFonts w:hint="eastAsia" w:ascii="Times New Roman" w:hAnsi="Times New Roman" w:eastAsia="宋体" w:cs="宋体"/>
          <w:sz w:val="28"/>
          <w:szCs w:val="28"/>
        </w:rPr>
      </w:pPr>
      <w:r>
        <w:rPr>
          <w:rFonts w:hint="eastAsia" w:ascii="Times New Roman" w:hAnsi="Times New Roman" w:eastAsia="宋体" w:cs="宋体"/>
          <w:sz w:val="28"/>
          <w:szCs w:val="28"/>
        </w:rPr>
        <w:t>学院坚持把立德树人作为根本任务，以课程思政改革、社会实践活动、意识形态阵地管理、基层党组织建设、思政队伍为主要抓手，整合分散在各个层面的思想政治教育育人元素，健全机制，统筹推进“三全育人”综合改革，将研究生思想政治教育工作贯穿研究生培养全过程。落实了意识形态工作领导责任制，设立院长信箱，实行反馈与督导制，培养过程全程督导，规范专业教师课堂教育教学管理，重视学生社团组织管理，定期开展思想政治状况调研或各级座谈会，及时掌握学生思想状况，将专业教育、学术研究与意识形态教育在培养过程中每一环节进行有机融合。建立了学院党政主要负责人讲授思政课制度，推动研究生学习贯彻党的十九大精神和习近平新时代中国特色社会主义思想。</w:t>
      </w:r>
    </w:p>
    <w:p>
      <w:pPr>
        <w:pStyle w:val="2"/>
        <w:rPr>
          <w:rFonts w:hint="eastAsia" w:ascii="Times New Roman" w:hAnsi="Times New Roman" w:eastAsia="宋体" w:cs="宋体"/>
          <w:b/>
          <w:bCs/>
          <w:sz w:val="28"/>
          <w:szCs w:val="28"/>
        </w:rPr>
      </w:pPr>
      <w:r>
        <w:rPr>
          <w:rFonts w:hint="eastAsia" w:ascii="Times New Roman" w:hAnsi="Times New Roman" w:eastAsia="宋体" w:cs="宋体"/>
          <w:b/>
          <w:bCs/>
          <w:sz w:val="28"/>
          <w:szCs w:val="28"/>
          <w:lang w:val="en-US" w:eastAsia="zh-CN"/>
        </w:rPr>
        <w:t xml:space="preserve">3.2 </w:t>
      </w:r>
      <w:r>
        <w:rPr>
          <w:rFonts w:hint="eastAsia" w:ascii="Times New Roman" w:hAnsi="Times New Roman" w:eastAsia="宋体" w:cs="宋体"/>
          <w:b/>
          <w:bCs/>
          <w:sz w:val="28"/>
          <w:szCs w:val="28"/>
        </w:rPr>
        <w:t>建立“双导师”负责制，</w:t>
      </w:r>
      <w:r>
        <w:rPr>
          <w:rFonts w:hint="eastAsia" w:ascii="Times New Roman" w:hAnsi="Times New Roman" w:eastAsia="宋体" w:cs="宋体"/>
          <w:b/>
          <w:bCs/>
          <w:sz w:val="28"/>
          <w:szCs w:val="28"/>
          <w:lang w:val="en-US" w:eastAsia="zh-CN"/>
        </w:rPr>
        <w:t>实</w:t>
      </w:r>
      <w:r>
        <w:rPr>
          <w:rFonts w:hint="eastAsia" w:ascii="Times New Roman" w:hAnsi="Times New Roman" w:eastAsia="宋体" w:cs="宋体"/>
          <w:b/>
          <w:bCs/>
          <w:sz w:val="28"/>
          <w:szCs w:val="28"/>
        </w:rPr>
        <w:t>行“一对一”定向思政帮扶</w:t>
      </w:r>
    </w:p>
    <w:p>
      <w:pPr>
        <w:pStyle w:val="2"/>
        <w:rPr>
          <w:rFonts w:hint="eastAsia" w:ascii="Times New Roman" w:hAnsi="Times New Roman" w:eastAsia="宋体" w:cs="宋体"/>
          <w:sz w:val="28"/>
          <w:szCs w:val="28"/>
        </w:rPr>
      </w:pPr>
      <w:r>
        <w:rPr>
          <w:rFonts w:hint="eastAsia" w:ascii="Times New Roman" w:hAnsi="Times New Roman" w:eastAsia="宋体" w:cs="宋体"/>
          <w:sz w:val="28"/>
          <w:szCs w:val="28"/>
        </w:rPr>
        <w:t>由专业导师担任主导师，主要负责研究生的学术科研，由教工党支部内的优秀教师担任副导师，主要负责研究生的思政教育，实行“一对一”定向思政帮扶，夯实协同共建基础。坚持以学术思政为指导，教学科研为先导，以科研课题研究为载体，以常规研究生教学研究为基础，充分发挥组织建设在研究生思政工作中的辐射、指导作用。</w:t>
      </w:r>
    </w:p>
    <w:p>
      <w:pPr>
        <w:pStyle w:val="2"/>
        <w:rPr>
          <w:rFonts w:hint="eastAsia" w:ascii="Times New Roman" w:hAnsi="Times New Roman" w:eastAsia="宋体" w:cs="宋体"/>
          <w:b/>
          <w:bCs/>
          <w:sz w:val="28"/>
          <w:szCs w:val="28"/>
        </w:rPr>
      </w:pPr>
      <w:r>
        <w:rPr>
          <w:rFonts w:hint="eastAsia" w:ascii="Times New Roman" w:hAnsi="Times New Roman" w:eastAsia="宋体" w:cs="宋体"/>
          <w:b/>
          <w:bCs/>
          <w:sz w:val="28"/>
          <w:szCs w:val="28"/>
          <w:lang w:val="en-US" w:eastAsia="zh-CN"/>
        </w:rPr>
        <w:t xml:space="preserve">3.3 </w:t>
      </w:r>
      <w:r>
        <w:rPr>
          <w:rFonts w:hint="eastAsia" w:ascii="Times New Roman" w:hAnsi="Times New Roman" w:eastAsia="宋体" w:cs="宋体"/>
          <w:b/>
          <w:bCs/>
          <w:sz w:val="28"/>
          <w:szCs w:val="28"/>
        </w:rPr>
        <w:t>以研究生党支部为载体，全程开展党员教育</w:t>
      </w:r>
    </w:p>
    <w:p>
      <w:pPr>
        <w:pStyle w:val="2"/>
        <w:rPr>
          <w:rFonts w:hint="eastAsia" w:ascii="Times New Roman" w:hAnsi="Times New Roman" w:eastAsia="宋体" w:cs="宋体"/>
          <w:sz w:val="28"/>
          <w:szCs w:val="28"/>
          <w:lang w:eastAsia="zh-CN"/>
        </w:rPr>
      </w:pPr>
      <w:r>
        <w:rPr>
          <w:rFonts w:hint="eastAsia" w:ascii="Times New Roman" w:hAnsi="Times New Roman" w:eastAsia="宋体" w:cs="宋体"/>
          <w:sz w:val="28"/>
          <w:szCs w:val="28"/>
        </w:rPr>
        <w:t>组织研究生分党校培训班，推进入党积极分子培养和党员发展，每年发展研究生党员2人</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rPr>
        <w:t>争创学习型先进党支部，充分发挥组织育人作用。研究生</w:t>
      </w:r>
      <w:r>
        <w:rPr>
          <w:rFonts w:hint="eastAsia" w:ascii="Times New Roman" w:hAnsi="Times New Roman" w:eastAsia="宋体" w:cs="宋体"/>
          <w:sz w:val="28"/>
          <w:szCs w:val="28"/>
          <w:lang w:val="en-US" w:eastAsia="zh-CN"/>
        </w:rPr>
        <w:t>党</w:t>
      </w:r>
      <w:r>
        <w:rPr>
          <w:rFonts w:hint="eastAsia" w:ascii="Times New Roman" w:hAnsi="Times New Roman" w:eastAsia="宋体" w:cs="宋体"/>
          <w:sz w:val="28"/>
          <w:szCs w:val="28"/>
        </w:rPr>
        <w:t>支部获评</w:t>
      </w:r>
      <w:r>
        <w:rPr>
          <w:rFonts w:hint="eastAsia" w:ascii="Times New Roman" w:hAnsi="Times New Roman" w:eastAsia="宋体" w:cs="宋体"/>
          <w:sz w:val="28"/>
          <w:szCs w:val="28"/>
          <w:lang w:val="en-US" w:eastAsia="zh-CN"/>
        </w:rPr>
        <w:t>本年度</w:t>
      </w:r>
      <w:r>
        <w:rPr>
          <w:rFonts w:hint="eastAsia" w:ascii="Times New Roman" w:hAnsi="Times New Roman" w:eastAsia="宋体" w:cs="宋体"/>
          <w:sz w:val="28"/>
          <w:szCs w:val="28"/>
        </w:rPr>
        <w:t>校级“先进学生党支部”，获评校级“学生优秀党员”1人</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lang w:val="en-US" w:eastAsia="zh-CN"/>
        </w:rPr>
        <w:t>获评</w:t>
      </w:r>
      <w:r>
        <w:rPr>
          <w:rFonts w:hint="eastAsia" w:ascii="Times New Roman" w:hAnsi="Times New Roman" w:eastAsia="宋体" w:cs="宋体"/>
          <w:sz w:val="28"/>
          <w:szCs w:val="28"/>
          <w:lang w:eastAsia="zh-CN"/>
        </w:rPr>
        <w:t>校级研究生“先进团支部”、“五四红旗团支部”、校级优秀团干1人、优秀团员3人、优秀学干1人。</w:t>
      </w:r>
    </w:p>
    <w:p>
      <w:pPr>
        <w:pStyle w:val="2"/>
        <w:rPr>
          <w:rFonts w:hint="eastAsia" w:ascii="Times New Roman" w:hAnsi="Times New Roman" w:eastAsia="宋体" w:cs="宋体"/>
          <w:b/>
          <w:bCs/>
          <w:sz w:val="28"/>
          <w:szCs w:val="28"/>
          <w:lang w:val="en-US" w:eastAsia="zh-CN"/>
        </w:rPr>
      </w:pPr>
      <w:r>
        <w:rPr>
          <w:rFonts w:hint="eastAsia" w:ascii="Times New Roman" w:hAnsi="Times New Roman" w:eastAsia="宋体" w:cs="宋体"/>
          <w:b/>
          <w:bCs/>
          <w:sz w:val="28"/>
          <w:szCs w:val="28"/>
          <w:lang w:val="en-US" w:eastAsia="zh-CN"/>
        </w:rPr>
        <w:t xml:space="preserve">3.4 </w:t>
      </w:r>
      <w:r>
        <w:rPr>
          <w:rFonts w:hint="eastAsia" w:ascii="Times New Roman" w:hAnsi="Times New Roman" w:eastAsia="宋体" w:cs="宋体"/>
          <w:b/>
          <w:bCs/>
          <w:sz w:val="28"/>
          <w:szCs w:val="28"/>
        </w:rPr>
        <w:t>积极开展课程育人、科研育人，</w:t>
      </w:r>
      <w:r>
        <w:rPr>
          <w:rFonts w:hint="eastAsia" w:ascii="Times New Roman" w:hAnsi="Times New Roman" w:eastAsia="宋体" w:cs="宋体"/>
          <w:b/>
          <w:bCs/>
          <w:sz w:val="28"/>
          <w:szCs w:val="28"/>
          <w:lang w:val="en-US" w:eastAsia="zh-CN"/>
        </w:rPr>
        <w:t>实践育人</w:t>
      </w:r>
    </w:p>
    <w:p>
      <w:pPr>
        <w:pStyle w:val="2"/>
        <w:rPr>
          <w:rFonts w:hint="eastAsia" w:ascii="Times New Roman" w:hAnsi="Times New Roman" w:eastAsia="宋体" w:cs="宋体"/>
          <w:sz w:val="28"/>
          <w:szCs w:val="28"/>
          <w:lang w:eastAsia="zh-CN"/>
        </w:rPr>
      </w:pPr>
      <w:r>
        <w:rPr>
          <w:rFonts w:hint="eastAsia" w:ascii="Times New Roman" w:hAnsi="Times New Roman" w:eastAsia="宋体" w:cs="宋体"/>
          <w:sz w:val="28"/>
          <w:szCs w:val="28"/>
        </w:rPr>
        <w:t>在西方文论、外语课程教学论等课程中融会贯通中西文化，进行中外对比教学，培养学生的批判思维与创新能力，启智求真，指引学生求得真学问、练就真本领。依托课程思政工作团队，面向全院师生，以工作坊的形式，开展思政课堂建设、教学方案设计、教学案例设计、课程交流研讨、精品课程创建等活动；并通过案例分享、交流研讨等方式，为教师思政课堂建设提供专业化的指导</w:t>
      </w:r>
      <w:r>
        <w:rPr>
          <w:rFonts w:hint="eastAsia" w:ascii="Times New Roman" w:hAnsi="Times New Roman" w:eastAsia="宋体" w:cs="宋体"/>
          <w:sz w:val="28"/>
          <w:szCs w:val="28"/>
          <w:lang w:eastAsia="zh-CN"/>
        </w:rPr>
        <w:t>。</w:t>
      </w:r>
      <w:r>
        <w:rPr>
          <w:rFonts w:hint="eastAsia" w:ascii="Times New Roman" w:hAnsi="Times New Roman" w:eastAsia="宋体" w:cs="宋体"/>
          <w:b w:val="0"/>
          <w:bCs w:val="0"/>
          <w:sz w:val="28"/>
          <w:szCs w:val="28"/>
          <w:lang w:val="en-US" w:eastAsia="zh-CN"/>
        </w:rPr>
        <w:t>在实践环节，</w:t>
      </w:r>
      <w:r>
        <w:rPr>
          <w:rFonts w:hint="eastAsia" w:ascii="Times New Roman" w:hAnsi="Times New Roman" w:eastAsia="宋体" w:cs="宋体"/>
          <w:sz w:val="28"/>
          <w:szCs w:val="28"/>
        </w:rPr>
        <w:t>组织红色文化博士团三下乡、陈康白陈列馆、刘少奇陈列馆、陈树湘陈列馆等系列党日活动，在红网报道2篇、学校官网报道3篇</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rPr>
        <w:t>获学校2021年“红色＋”博士团暑期专业实践活动团队立项1项；赴长沙县“长征+”国家文化公园（长沙县段）文化服务专业实践博士团获得优秀团队称号（全校六分之一），获得三湘都市报、红网、校园网等各大媒体平台报道</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rPr>
        <w:t>组织全体研究生赴岳麓书院开展党史学习活动；组织研究生导师和研究生代表参加“红色毅行共贺建党百年”活动</w:t>
      </w:r>
      <w:r>
        <w:rPr>
          <w:rFonts w:hint="eastAsia" w:ascii="Times New Roman" w:hAnsi="Times New Roman" w:eastAsia="宋体" w:cs="宋体"/>
          <w:sz w:val="28"/>
          <w:szCs w:val="28"/>
          <w:lang w:eastAsia="zh-CN"/>
        </w:rPr>
        <w:t>。</w:t>
      </w:r>
    </w:p>
    <w:p>
      <w:pPr>
        <w:pStyle w:val="2"/>
        <w:rPr>
          <w:rFonts w:hint="eastAsia" w:ascii="Times New Roman" w:hAnsi="Times New Roman" w:eastAsia="宋体" w:cs="宋体"/>
          <w:b/>
          <w:bCs/>
          <w:sz w:val="28"/>
          <w:szCs w:val="28"/>
        </w:rPr>
      </w:pPr>
      <w:r>
        <w:rPr>
          <w:rFonts w:hint="eastAsia" w:ascii="Times New Roman" w:hAnsi="Times New Roman" w:eastAsia="宋体" w:cs="宋体"/>
          <w:b/>
          <w:bCs/>
          <w:sz w:val="28"/>
          <w:szCs w:val="28"/>
          <w:lang w:val="en-US" w:eastAsia="zh-CN"/>
        </w:rPr>
        <w:t xml:space="preserve">3.5 </w:t>
      </w:r>
      <w:r>
        <w:rPr>
          <w:rFonts w:hint="eastAsia" w:ascii="Times New Roman" w:hAnsi="Times New Roman" w:eastAsia="宋体" w:cs="宋体"/>
          <w:b/>
          <w:bCs/>
          <w:sz w:val="28"/>
          <w:szCs w:val="28"/>
        </w:rPr>
        <w:t>优化队伍结构，明确思政队伍岗位职责</w:t>
      </w:r>
    </w:p>
    <w:p>
      <w:pPr>
        <w:pStyle w:val="2"/>
        <w:rPr>
          <w:rFonts w:hint="eastAsia" w:ascii="Times New Roman" w:hAnsi="Times New Roman" w:eastAsia="宋体" w:cs="宋体"/>
          <w:sz w:val="28"/>
          <w:szCs w:val="28"/>
        </w:rPr>
      </w:pPr>
      <w:r>
        <w:rPr>
          <w:rFonts w:hint="eastAsia" w:ascii="Times New Roman" w:hAnsi="Times New Roman" w:eastAsia="宋体" w:cs="宋体"/>
          <w:sz w:val="28"/>
          <w:szCs w:val="28"/>
        </w:rPr>
        <w:t>明确以导师、任课教师、辅导员组成的思政队伍岗位职责，目前学院专职研究生辅导员数量为1人，能够细致地发挥协同育人作用，对不同学生采取个性化培养思路，提高研究生整体思想政治素养。强化考核激励机制，设立岗位津贴，落实评价机制，从各方位切实帮助研究生树立正确思想意识，使之成长为德才兼备的社会主义高端人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left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val="en-US" w:eastAsia="zh-CN"/>
        </w:rPr>
        <w:t>4.课程与教材</w:t>
      </w:r>
    </w:p>
    <w:p>
      <w:pPr>
        <w:spacing w:line="520" w:lineRule="exact"/>
        <w:ind w:firstLine="562" w:firstLineChars="200"/>
        <w:rPr>
          <w:rFonts w:hint="default" w:ascii="Times New Roman" w:hAnsi="Times New Roman" w:eastAsia="宋体" w:cs="宋体"/>
          <w:b/>
          <w:bCs/>
          <w:sz w:val="28"/>
          <w:szCs w:val="28"/>
          <w:lang w:val="en-US" w:eastAsia="zh-CN"/>
        </w:rPr>
      </w:pPr>
      <w:r>
        <w:rPr>
          <w:rFonts w:hint="eastAsia" w:ascii="Times New Roman" w:hAnsi="Times New Roman" w:cs="宋体"/>
          <w:b/>
          <w:bCs/>
          <w:sz w:val="28"/>
          <w:szCs w:val="28"/>
          <w:lang w:val="en-US" w:eastAsia="zh-CN"/>
        </w:rPr>
        <w:t>4.1 课程学习与要求</w:t>
      </w:r>
    </w:p>
    <w:p>
      <w:pPr>
        <w:spacing w:line="520" w:lineRule="exact"/>
        <w:ind w:firstLine="560" w:firstLineChars="200"/>
        <w:rPr>
          <w:rFonts w:hint="eastAsia" w:ascii="Times New Roman" w:hAnsi="Times New Roman" w:eastAsia="宋体" w:cs="宋体"/>
          <w:sz w:val="28"/>
          <w:szCs w:val="28"/>
        </w:rPr>
      </w:pPr>
      <w:r>
        <w:rPr>
          <w:rFonts w:hint="eastAsia" w:ascii="Times New Roman" w:hAnsi="Times New Roman" w:eastAsia="宋体" w:cs="宋体"/>
          <w:sz w:val="28"/>
          <w:szCs w:val="28"/>
          <w:lang w:val="en-US" w:eastAsia="zh-CN"/>
        </w:rPr>
        <w:t>本学位点</w:t>
      </w:r>
      <w:r>
        <w:rPr>
          <w:rFonts w:hint="eastAsia" w:ascii="Times New Roman" w:hAnsi="Times New Roman" w:eastAsia="宋体" w:cs="宋体"/>
          <w:sz w:val="28"/>
          <w:szCs w:val="28"/>
        </w:rPr>
        <w:t>学术型硕士研究生总学分不少于</w:t>
      </w:r>
      <w:r>
        <w:rPr>
          <w:rFonts w:hint="eastAsia" w:ascii="Times New Roman" w:hAnsi="Times New Roman" w:eastAsia="宋体" w:cs="宋体"/>
          <w:sz w:val="28"/>
          <w:szCs w:val="28"/>
          <w:lang w:val="en-US" w:eastAsia="zh-CN"/>
        </w:rPr>
        <w:t>3</w:t>
      </w:r>
      <w:r>
        <w:rPr>
          <w:rFonts w:hint="eastAsia" w:ascii="Times New Roman" w:hAnsi="Times New Roman" w:cs="宋体"/>
          <w:sz w:val="28"/>
          <w:szCs w:val="28"/>
          <w:lang w:val="en-US" w:eastAsia="zh-CN"/>
        </w:rPr>
        <w:t>2</w:t>
      </w:r>
      <w:r>
        <w:rPr>
          <w:rFonts w:hint="eastAsia" w:ascii="Times New Roman" w:hAnsi="Times New Roman" w:eastAsia="宋体" w:cs="宋体"/>
          <w:sz w:val="28"/>
          <w:szCs w:val="28"/>
        </w:rPr>
        <w:t>学分，其中课程学习不少于2</w:t>
      </w:r>
      <w:r>
        <w:rPr>
          <w:rFonts w:hint="eastAsia" w:ascii="Times New Roman" w:hAnsi="Times New Roman" w:cs="宋体"/>
          <w:sz w:val="28"/>
          <w:szCs w:val="28"/>
          <w:lang w:val="en-US" w:eastAsia="zh-CN"/>
        </w:rPr>
        <w:t>6</w:t>
      </w:r>
      <w:r>
        <w:rPr>
          <w:rFonts w:hint="eastAsia" w:ascii="Times New Roman" w:hAnsi="Times New Roman" w:eastAsia="宋体" w:cs="宋体"/>
          <w:sz w:val="28"/>
          <w:szCs w:val="28"/>
        </w:rPr>
        <w:t>学分，培养环节</w:t>
      </w:r>
      <w:r>
        <w:rPr>
          <w:rFonts w:hint="eastAsia" w:ascii="Times New Roman" w:hAnsi="Times New Roman" w:cs="宋体"/>
          <w:sz w:val="28"/>
          <w:szCs w:val="28"/>
          <w:lang w:val="en-US" w:eastAsia="zh-CN"/>
        </w:rPr>
        <w:t>6</w:t>
      </w:r>
      <w:r>
        <w:rPr>
          <w:rFonts w:hint="eastAsia" w:ascii="Times New Roman" w:hAnsi="Times New Roman" w:eastAsia="宋体" w:cs="宋体"/>
          <w:sz w:val="28"/>
          <w:szCs w:val="28"/>
        </w:rPr>
        <w:t>学分。课程按学位课与选修课开设，学位课包括公共学位课与专业学位课，选修课包括专业选修课和公共选修课。所有课程均按要求编写了教学大纲。除研究生班讨论课外，课程学习集中在第一学年完成。学位课70分为合格，选修课60分为合格，考试不合格者可补考一次，补考仍不合格者须重修。以同等学力或跨一级学科录取的硕士研究生须在中期考核前补修本科生阶段或研究生阶段主干课程2-3门，不计学分。</w:t>
      </w:r>
    </w:p>
    <w:p>
      <w:pPr>
        <w:pStyle w:val="2"/>
        <w:rPr>
          <w:rFonts w:hint="eastAsia" w:ascii="Times New Roman" w:hAnsi="Times New Roman" w:eastAsia="宋体" w:cs="宋体"/>
          <w:b/>
          <w:bCs/>
          <w:sz w:val="28"/>
          <w:szCs w:val="28"/>
          <w:lang w:val="en-US" w:eastAsia="zh-CN"/>
        </w:rPr>
      </w:pPr>
      <w:r>
        <w:rPr>
          <w:rFonts w:hint="eastAsia" w:ascii="Times New Roman" w:hAnsi="Times New Roman" w:eastAsia="宋体" w:cs="宋体"/>
          <w:b/>
          <w:bCs/>
          <w:sz w:val="28"/>
          <w:szCs w:val="28"/>
          <w:lang w:val="en-US" w:eastAsia="zh-CN"/>
        </w:rPr>
        <w:t>4.2 课程设置与教材</w:t>
      </w:r>
    </w:p>
    <w:p>
      <w:pPr>
        <w:rPr>
          <w:rFonts w:hint="eastAsia" w:ascii="Times New Roman" w:hAnsi="Times New Roman" w:cs="宋体"/>
          <w:b w:val="0"/>
          <w:bCs w:val="0"/>
          <w:sz w:val="28"/>
          <w:szCs w:val="28"/>
          <w:lang w:val="en-US" w:eastAsia="zh-CN"/>
        </w:rPr>
      </w:pPr>
      <w:r>
        <w:rPr>
          <w:rFonts w:hint="eastAsia" w:ascii="Times New Roman" w:hAnsi="Times New Roman" w:cs="宋体"/>
          <w:b/>
          <w:bCs/>
          <w:sz w:val="28"/>
          <w:szCs w:val="28"/>
          <w:lang w:val="en-US" w:eastAsia="zh-CN"/>
        </w:rPr>
        <w:t xml:space="preserve">   </w:t>
      </w:r>
      <w:r>
        <w:rPr>
          <w:rFonts w:hint="eastAsia" w:ascii="Times New Roman" w:hAnsi="Times New Roman" w:cs="宋体"/>
          <w:b w:val="0"/>
          <w:bCs w:val="0"/>
          <w:sz w:val="28"/>
          <w:szCs w:val="28"/>
          <w:lang w:val="en-US" w:eastAsia="zh-CN"/>
        </w:rPr>
        <w:t>学位点课程按照《外国语言文学一级学科研究生核心课程指南》结合学校实际进行设置，涵盖公共必修课、公共选修课、专业必修课和方向专业选修课，并选取一定的必读书目和宣读书目作为主要课程教材使用，同时任课教师根据所授科目选取前沿文献或经典著作内容作为本科目教学书目要求。具体情况详见下表。</w:t>
      </w:r>
    </w:p>
    <w:p>
      <w:pPr>
        <w:pStyle w:val="2"/>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表6 </w:t>
      </w:r>
      <w:r>
        <w:rPr>
          <w:rFonts w:hint="eastAsia" w:ascii="宋体" w:hAnsi="宋体" w:eastAsia="宋体" w:cs="宋体"/>
          <w:b/>
          <w:bCs/>
          <w:kern w:val="0"/>
          <w:sz w:val="24"/>
          <w:szCs w:val="24"/>
        </w:rPr>
        <w:t>课程设置</w:t>
      </w:r>
    </w:p>
    <w:tbl>
      <w:tblPr>
        <w:tblStyle w:val="7"/>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489"/>
        <w:gridCol w:w="1106"/>
        <w:gridCol w:w="2183"/>
        <w:gridCol w:w="385"/>
        <w:gridCol w:w="413"/>
        <w:gridCol w:w="641"/>
        <w:gridCol w:w="783"/>
        <w:gridCol w:w="58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6" w:type="dxa"/>
            <w:gridSpan w:val="2"/>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宋体" w:cs="宋体"/>
                <w:b/>
                <w:kern w:val="0"/>
                <w:sz w:val="18"/>
                <w:szCs w:val="20"/>
              </w:rPr>
            </w:pPr>
            <w:r>
              <w:rPr>
                <w:rFonts w:hint="eastAsia" w:ascii="Times New Roman" w:hAnsi="Times New Roman" w:eastAsia="宋体" w:cs="宋体"/>
                <w:b/>
                <w:kern w:val="0"/>
                <w:sz w:val="18"/>
                <w:szCs w:val="20"/>
              </w:rPr>
              <w:t>课程类别</w:t>
            </w:r>
          </w:p>
        </w:tc>
        <w:tc>
          <w:tcPr>
            <w:tcW w:w="1106"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宋体" w:cs="宋体"/>
                <w:b/>
                <w:kern w:val="0"/>
                <w:sz w:val="18"/>
                <w:szCs w:val="20"/>
              </w:rPr>
            </w:pPr>
            <w:r>
              <w:rPr>
                <w:rFonts w:hint="eastAsia" w:ascii="Times New Roman" w:hAnsi="Times New Roman" w:eastAsia="宋体" w:cs="宋体"/>
                <w:b/>
                <w:kern w:val="0"/>
                <w:sz w:val="18"/>
                <w:szCs w:val="20"/>
              </w:rPr>
              <w:t>课程编号</w:t>
            </w:r>
          </w:p>
        </w:tc>
        <w:tc>
          <w:tcPr>
            <w:tcW w:w="21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宋体" w:cs="宋体"/>
                <w:b/>
                <w:kern w:val="0"/>
                <w:sz w:val="18"/>
                <w:szCs w:val="20"/>
              </w:rPr>
            </w:pPr>
            <w:r>
              <w:rPr>
                <w:rFonts w:hint="eastAsia" w:ascii="Times New Roman" w:hAnsi="Times New Roman" w:eastAsia="宋体" w:cs="宋体"/>
                <w:b/>
                <w:kern w:val="0"/>
                <w:sz w:val="18"/>
                <w:szCs w:val="20"/>
              </w:rPr>
              <w:t>课程（中英文）名称</w:t>
            </w:r>
          </w:p>
        </w:tc>
        <w:tc>
          <w:tcPr>
            <w:tcW w:w="38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宋体" w:cs="宋体"/>
                <w:b/>
                <w:kern w:val="0"/>
                <w:sz w:val="18"/>
                <w:szCs w:val="20"/>
              </w:rPr>
            </w:pPr>
            <w:r>
              <w:rPr>
                <w:rFonts w:hint="eastAsia" w:ascii="Times New Roman" w:hAnsi="Times New Roman" w:eastAsia="宋体" w:cs="宋体"/>
                <w:b/>
                <w:kern w:val="0"/>
                <w:sz w:val="18"/>
                <w:szCs w:val="20"/>
              </w:rPr>
              <w:t>学分</w:t>
            </w:r>
          </w:p>
        </w:tc>
        <w:tc>
          <w:tcPr>
            <w:tcW w:w="41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宋体" w:cs="宋体"/>
                <w:b/>
                <w:kern w:val="0"/>
                <w:sz w:val="18"/>
                <w:szCs w:val="20"/>
                <w:lang w:eastAsia="zh-CN"/>
              </w:rPr>
            </w:pPr>
            <w:r>
              <w:rPr>
                <w:rFonts w:hint="eastAsia" w:ascii="Times New Roman" w:hAnsi="Times New Roman" w:eastAsia="宋体" w:cs="宋体"/>
                <w:b/>
                <w:kern w:val="0"/>
                <w:sz w:val="18"/>
                <w:szCs w:val="20"/>
                <w:lang w:eastAsia="zh-CN"/>
              </w:rPr>
              <w:t>学时</w:t>
            </w:r>
          </w:p>
        </w:tc>
        <w:tc>
          <w:tcPr>
            <w:tcW w:w="6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宋体" w:cs="宋体"/>
                <w:b/>
                <w:kern w:val="0"/>
                <w:sz w:val="18"/>
                <w:szCs w:val="20"/>
              </w:rPr>
            </w:pPr>
            <w:r>
              <w:rPr>
                <w:rFonts w:hint="eastAsia" w:ascii="Times New Roman" w:hAnsi="Times New Roman" w:eastAsia="宋体" w:cs="宋体"/>
                <w:b/>
                <w:kern w:val="0"/>
                <w:sz w:val="18"/>
                <w:szCs w:val="20"/>
              </w:rPr>
              <w:t>开课</w:t>
            </w:r>
          </w:p>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宋体" w:cs="宋体"/>
                <w:b/>
                <w:kern w:val="0"/>
                <w:sz w:val="18"/>
                <w:szCs w:val="20"/>
              </w:rPr>
            </w:pPr>
            <w:r>
              <w:rPr>
                <w:rFonts w:hint="eastAsia" w:ascii="Times New Roman" w:hAnsi="Times New Roman" w:eastAsia="宋体" w:cs="宋体"/>
                <w:b/>
                <w:kern w:val="0"/>
                <w:sz w:val="18"/>
                <w:szCs w:val="20"/>
              </w:rPr>
              <w:t>学期</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宋体" w:cs="宋体"/>
                <w:b/>
                <w:kern w:val="0"/>
                <w:sz w:val="18"/>
                <w:szCs w:val="20"/>
              </w:rPr>
            </w:pPr>
            <w:r>
              <w:rPr>
                <w:rFonts w:hint="eastAsia" w:ascii="Times New Roman" w:hAnsi="Times New Roman" w:eastAsia="宋体" w:cs="宋体"/>
                <w:b/>
                <w:kern w:val="0"/>
                <w:sz w:val="18"/>
                <w:szCs w:val="20"/>
              </w:rPr>
              <w:t>开课</w:t>
            </w:r>
          </w:p>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宋体" w:cs="宋体"/>
                <w:b/>
                <w:kern w:val="0"/>
                <w:sz w:val="18"/>
                <w:szCs w:val="20"/>
              </w:rPr>
            </w:pPr>
            <w:r>
              <w:rPr>
                <w:rFonts w:hint="eastAsia" w:ascii="Times New Roman" w:hAnsi="Times New Roman" w:eastAsia="宋体" w:cs="宋体"/>
                <w:b/>
                <w:kern w:val="0"/>
                <w:sz w:val="18"/>
                <w:szCs w:val="20"/>
              </w:rPr>
              <w:t>学院</w:t>
            </w:r>
          </w:p>
        </w:tc>
        <w:tc>
          <w:tcPr>
            <w:tcW w:w="58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宋体" w:cs="宋体"/>
                <w:b/>
                <w:kern w:val="0"/>
                <w:sz w:val="18"/>
                <w:szCs w:val="20"/>
              </w:rPr>
            </w:pPr>
            <w:r>
              <w:rPr>
                <w:rFonts w:hint="eastAsia" w:ascii="Times New Roman" w:hAnsi="Times New Roman" w:eastAsia="宋体" w:cs="宋体"/>
                <w:b/>
                <w:kern w:val="0"/>
                <w:sz w:val="18"/>
                <w:szCs w:val="20"/>
                <w:lang w:eastAsia="zh-CN"/>
              </w:rPr>
              <w:t>开课类型</w:t>
            </w:r>
          </w:p>
        </w:tc>
        <w:tc>
          <w:tcPr>
            <w:tcW w:w="1353" w:type="dxa"/>
            <w:noWrap w:val="0"/>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宋体" w:cs="宋体"/>
                <w:b/>
                <w:kern w:val="0"/>
                <w:sz w:val="18"/>
                <w:szCs w:val="20"/>
              </w:rPr>
            </w:pPr>
            <w:r>
              <w:rPr>
                <w:rFonts w:hint="eastAsia" w:ascii="Times New Roman" w:hAnsi="Times New Roman" w:eastAsia="宋体" w:cs="宋体"/>
                <w:b/>
                <w:kern w:val="0"/>
                <w:sz w:val="18"/>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487" w:type="dxa"/>
            <w:vMerge w:val="restart"/>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b/>
                <w:kern w:val="0"/>
                <w:sz w:val="18"/>
                <w:szCs w:val="20"/>
                <w:lang w:val="en-US" w:eastAsia="zh-CN"/>
              </w:rPr>
            </w:pPr>
            <w:r>
              <w:rPr>
                <w:rFonts w:hint="eastAsia" w:ascii="Times New Roman" w:hAnsi="Times New Roman" w:eastAsia="宋体" w:cs="宋体"/>
                <w:b/>
                <w:kern w:val="0"/>
                <w:sz w:val="18"/>
                <w:szCs w:val="20"/>
                <w:lang w:val="en-US" w:eastAsia="zh-CN"/>
              </w:rPr>
              <w:t>学位课</w:t>
            </w:r>
            <w:r>
              <w:rPr>
                <w:rFonts w:hint="eastAsia" w:ascii="Times New Roman" w:hAnsi="Times New Roman" w:eastAsia="宋体" w:cs="宋体"/>
                <w:b w:val="0"/>
                <w:bCs/>
                <w:kern w:val="0"/>
                <w:sz w:val="18"/>
                <w:szCs w:val="20"/>
                <w:lang w:eastAsia="zh-CN"/>
              </w:rPr>
              <w:t>︵</w:t>
            </w:r>
            <w:r>
              <w:rPr>
                <w:rFonts w:hint="eastAsia" w:ascii="Times New Roman" w:hAnsi="Times New Roman" w:eastAsia="宋体" w:cs="宋体"/>
                <w:b w:val="0"/>
                <w:bCs/>
                <w:kern w:val="0"/>
                <w:sz w:val="18"/>
                <w:szCs w:val="20"/>
                <w:lang w:val="en-US" w:eastAsia="zh-CN"/>
              </w:rPr>
              <w:t>15学分</w:t>
            </w:r>
            <w:r>
              <w:rPr>
                <w:rFonts w:hint="eastAsia" w:ascii="Times New Roman" w:hAnsi="Times New Roman" w:eastAsia="宋体" w:cs="宋体"/>
                <w:b w:val="0"/>
                <w:bCs/>
                <w:kern w:val="0"/>
                <w:sz w:val="18"/>
                <w:szCs w:val="20"/>
                <w:lang w:eastAsia="zh-CN"/>
              </w:rPr>
              <w:t>︶</w:t>
            </w:r>
          </w:p>
        </w:tc>
        <w:tc>
          <w:tcPr>
            <w:tcW w:w="489" w:type="dxa"/>
            <w:vMerge w:val="restart"/>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b/>
                <w:kern w:val="0"/>
                <w:sz w:val="18"/>
                <w:szCs w:val="20"/>
              </w:rPr>
              <w:t>公共必修课</w:t>
            </w:r>
          </w:p>
        </w:tc>
        <w:tc>
          <w:tcPr>
            <w:tcW w:w="1106"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S</w:t>
            </w:r>
            <w:r>
              <w:rPr>
                <w:rFonts w:hint="eastAsia" w:ascii="Times New Roman" w:hAnsi="Times New Roman" w:eastAsia="宋体" w:cs="宋体"/>
                <w:kern w:val="0"/>
                <w:sz w:val="18"/>
                <w:szCs w:val="20"/>
              </w:rPr>
              <w:t>0000Z001</w:t>
            </w:r>
          </w:p>
        </w:tc>
        <w:tc>
          <w:tcPr>
            <w:tcW w:w="2183"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kern w:val="0"/>
                <w:sz w:val="18"/>
                <w:szCs w:val="20"/>
              </w:rPr>
              <w:t>中国</w:t>
            </w:r>
            <w:r>
              <w:rPr>
                <w:rFonts w:hint="eastAsia" w:ascii="Times New Roman" w:hAnsi="Times New Roman" w:eastAsia="宋体" w:cs="宋体"/>
                <w:color w:val="000000"/>
                <w:kern w:val="0"/>
                <w:sz w:val="18"/>
                <w:szCs w:val="20"/>
                <w:lang w:eastAsia="zh-CN"/>
              </w:rPr>
              <w:t>特色社会主义理论与实践</w:t>
            </w:r>
          </w:p>
        </w:tc>
        <w:tc>
          <w:tcPr>
            <w:tcW w:w="385"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rPr>
              <w:t>2</w:t>
            </w:r>
          </w:p>
        </w:tc>
        <w:tc>
          <w:tcPr>
            <w:tcW w:w="413"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lang w:val="en-US" w:eastAsia="zh-CN"/>
              </w:rPr>
            </w:pPr>
            <w:r>
              <w:rPr>
                <w:rFonts w:hint="eastAsia" w:ascii="Times New Roman" w:hAnsi="Times New Roman" w:eastAsia="宋体" w:cs="宋体"/>
                <w:kern w:val="0"/>
                <w:sz w:val="18"/>
                <w:szCs w:val="20"/>
                <w:lang w:val="en-US" w:eastAsia="zh-CN"/>
              </w:rPr>
              <w:t>36</w:t>
            </w:r>
          </w:p>
        </w:tc>
        <w:tc>
          <w:tcPr>
            <w:tcW w:w="641"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秋季</w:t>
            </w:r>
          </w:p>
        </w:tc>
        <w:tc>
          <w:tcPr>
            <w:tcW w:w="783"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rPr>
              <w:t>马列院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restart"/>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18"/>
              </w:rPr>
            </w:pPr>
            <w:r>
              <w:rPr>
                <w:rFonts w:hint="eastAsia" w:ascii="Times New Roman" w:hAnsi="Times New Roman" w:eastAsia="宋体" w:cs="宋体"/>
                <w:color w:val="000000"/>
                <w:spacing w:val="-6"/>
                <w:w w:val="100"/>
                <w:kern w:val="0"/>
                <w:sz w:val="18"/>
                <w:szCs w:val="18"/>
              </w:rPr>
              <w:t>来华留学生必修《中国文化</w:t>
            </w:r>
            <w:r>
              <w:rPr>
                <w:rFonts w:hint="eastAsia" w:ascii="Times New Roman" w:hAnsi="Times New Roman" w:eastAsia="宋体" w:cs="宋体"/>
                <w:color w:val="000000"/>
                <w:spacing w:val="-6"/>
                <w:w w:val="100"/>
                <w:kern w:val="0"/>
                <w:sz w:val="18"/>
                <w:szCs w:val="18"/>
                <w:lang w:eastAsia="zh-CN"/>
              </w:rPr>
              <w:t>概况</w:t>
            </w:r>
            <w:r>
              <w:rPr>
                <w:rFonts w:hint="eastAsia" w:ascii="Times New Roman" w:hAnsi="Times New Roman" w:eastAsia="宋体" w:cs="宋体"/>
                <w:color w:val="000000"/>
                <w:spacing w:val="-6"/>
                <w:w w:val="100"/>
                <w:kern w:val="0"/>
                <w:sz w:val="18"/>
                <w:szCs w:val="18"/>
              </w:rPr>
              <w:t>》和《</w:t>
            </w:r>
            <w:r>
              <w:rPr>
                <w:rFonts w:hint="eastAsia" w:ascii="Times New Roman" w:hAnsi="Times New Roman" w:eastAsia="宋体" w:cs="宋体"/>
                <w:color w:val="000000"/>
                <w:spacing w:val="-6"/>
                <w:w w:val="100"/>
                <w:kern w:val="0"/>
                <w:sz w:val="18"/>
                <w:szCs w:val="18"/>
                <w:lang w:eastAsia="zh-CN"/>
              </w:rPr>
              <w:t>基础</w:t>
            </w:r>
            <w:r>
              <w:rPr>
                <w:rFonts w:hint="eastAsia" w:ascii="Times New Roman" w:hAnsi="Times New Roman" w:eastAsia="宋体" w:cs="宋体"/>
                <w:color w:val="000000"/>
                <w:spacing w:val="-6"/>
                <w:w w:val="100"/>
                <w:kern w:val="0"/>
                <w:sz w:val="18"/>
                <w:szCs w:val="18"/>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87" w:type="dxa"/>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b/>
                <w:kern w:val="0"/>
                <w:sz w:val="18"/>
                <w:szCs w:val="20"/>
                <w:lang w:val="en-US" w:eastAsia="zh-CN"/>
              </w:rPr>
            </w:pPr>
          </w:p>
        </w:tc>
        <w:tc>
          <w:tcPr>
            <w:tcW w:w="489" w:type="dxa"/>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b/>
                <w:kern w:val="0"/>
                <w:sz w:val="18"/>
                <w:szCs w:val="20"/>
              </w:rPr>
            </w:pPr>
          </w:p>
        </w:tc>
        <w:tc>
          <w:tcPr>
            <w:tcW w:w="1106"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S</w:t>
            </w:r>
            <w:r>
              <w:rPr>
                <w:rFonts w:hint="eastAsia" w:ascii="Times New Roman" w:hAnsi="Times New Roman" w:eastAsia="宋体" w:cs="宋体"/>
                <w:kern w:val="0"/>
                <w:sz w:val="18"/>
                <w:szCs w:val="20"/>
              </w:rPr>
              <w:t>0000Z00</w:t>
            </w:r>
            <w:r>
              <w:rPr>
                <w:rFonts w:hint="eastAsia" w:ascii="Times New Roman" w:hAnsi="Times New Roman" w:eastAsia="宋体" w:cs="宋体"/>
                <w:kern w:val="0"/>
                <w:sz w:val="18"/>
                <w:szCs w:val="20"/>
                <w:lang w:val="en-US" w:eastAsia="zh-CN"/>
              </w:rPr>
              <w:t>2</w:t>
            </w:r>
          </w:p>
        </w:tc>
        <w:tc>
          <w:tcPr>
            <w:tcW w:w="2183"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color w:val="000000"/>
                <w:kern w:val="0"/>
                <w:sz w:val="18"/>
                <w:szCs w:val="20"/>
              </w:rPr>
            </w:pPr>
            <w:r>
              <w:rPr>
                <w:rFonts w:hint="eastAsia" w:ascii="Times New Roman" w:hAnsi="Times New Roman" w:eastAsia="宋体" w:cs="宋体"/>
                <w:color w:val="000000"/>
                <w:kern w:val="0"/>
                <w:sz w:val="18"/>
                <w:szCs w:val="20"/>
                <w:lang w:eastAsia="zh-CN"/>
              </w:rPr>
              <w:t>自然辩证法</w:t>
            </w:r>
          </w:p>
        </w:tc>
        <w:tc>
          <w:tcPr>
            <w:tcW w:w="385"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1</w:t>
            </w:r>
          </w:p>
        </w:tc>
        <w:tc>
          <w:tcPr>
            <w:tcW w:w="413"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lang w:val="en-US" w:eastAsia="zh-CN"/>
              </w:rPr>
            </w:pPr>
            <w:r>
              <w:rPr>
                <w:rFonts w:hint="eastAsia" w:ascii="Times New Roman" w:hAnsi="Times New Roman" w:eastAsia="宋体" w:cs="宋体"/>
                <w:kern w:val="0"/>
                <w:sz w:val="18"/>
                <w:szCs w:val="20"/>
                <w:lang w:val="en-US" w:eastAsia="zh-CN"/>
              </w:rPr>
              <w:t>18</w:t>
            </w:r>
          </w:p>
        </w:tc>
        <w:tc>
          <w:tcPr>
            <w:tcW w:w="641"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val="en-US" w:eastAsia="zh-CN"/>
              </w:rPr>
              <w:t>秋季</w:t>
            </w:r>
          </w:p>
        </w:tc>
        <w:tc>
          <w:tcPr>
            <w:tcW w:w="783"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eastAsia="zh-CN"/>
              </w:rPr>
              <w:t>马列院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color w:val="000000"/>
                <w:spacing w:val="-6"/>
                <w:w w:val="1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487" w:type="dxa"/>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489" w:type="dxa"/>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eastAsia" w:ascii="Times New Roman" w:hAnsi="Times New Roman" w:eastAsia="宋体" w:cs="宋体"/>
                <w:kern w:val="0"/>
                <w:sz w:val="18"/>
                <w:szCs w:val="20"/>
              </w:rPr>
            </w:pPr>
            <w:r>
              <w:rPr>
                <w:rFonts w:hint="eastAsia" w:ascii="Times New Roman" w:hAnsi="Times New Roman" w:eastAsia="宋体" w:cs="宋体"/>
                <w:sz w:val="18"/>
                <w:szCs w:val="20"/>
              </w:rPr>
              <w:t>S0502Z001</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color w:val="000000"/>
                <w:kern w:val="0"/>
                <w:sz w:val="18"/>
                <w:szCs w:val="20"/>
                <w:lang w:eastAsia="zh-CN"/>
              </w:rPr>
            </w:pPr>
            <w:r>
              <w:rPr>
                <w:rFonts w:hint="eastAsia" w:ascii="Times New Roman" w:hAnsi="Times New Roman" w:eastAsia="宋体" w:cs="宋体"/>
                <w:sz w:val="18"/>
                <w:szCs w:val="20"/>
              </w:rPr>
              <w:t>第二外语</w:t>
            </w:r>
            <w:r>
              <w:rPr>
                <w:rFonts w:hint="eastAsia" w:ascii="Times New Roman" w:hAnsi="Times New Roman" w:eastAsia="宋体" w:cs="宋体"/>
                <w:sz w:val="18"/>
                <w:szCs w:val="20"/>
                <w:lang w:eastAsia="zh-CN"/>
              </w:rPr>
              <w:t>（</w:t>
            </w:r>
            <w:r>
              <w:rPr>
                <w:rFonts w:hint="eastAsia" w:ascii="Times New Roman" w:hAnsi="Times New Roman" w:eastAsia="宋体" w:cs="宋体"/>
                <w:sz w:val="18"/>
                <w:szCs w:val="20"/>
                <w:lang w:val="en-US" w:eastAsia="zh-CN"/>
              </w:rPr>
              <w:t>日语或德语</w:t>
            </w:r>
            <w:r>
              <w:rPr>
                <w:rFonts w:hint="eastAsia" w:ascii="Times New Roman" w:hAnsi="Times New Roman" w:eastAsia="宋体" w:cs="宋体"/>
                <w:sz w:val="18"/>
                <w:szCs w:val="20"/>
                <w:lang w:eastAsia="zh-CN"/>
              </w:rPr>
              <w:t>）</w:t>
            </w:r>
          </w:p>
        </w:tc>
        <w:tc>
          <w:tcPr>
            <w:tcW w:w="385"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3</w:t>
            </w:r>
          </w:p>
        </w:tc>
        <w:tc>
          <w:tcPr>
            <w:tcW w:w="413"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lang w:val="en-US" w:eastAsia="zh-CN"/>
              </w:rPr>
            </w:pPr>
            <w:r>
              <w:rPr>
                <w:rFonts w:hint="eastAsia" w:ascii="Times New Roman" w:hAnsi="Times New Roman" w:eastAsia="宋体" w:cs="宋体"/>
                <w:kern w:val="0"/>
                <w:sz w:val="18"/>
                <w:szCs w:val="20"/>
                <w:lang w:val="en-US" w:eastAsia="zh-CN"/>
              </w:rPr>
              <w:t>48</w:t>
            </w:r>
          </w:p>
        </w:tc>
        <w:tc>
          <w:tcPr>
            <w:tcW w:w="641"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春秋季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87" w:type="dxa"/>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b/>
                <w:kern w:val="0"/>
                <w:sz w:val="18"/>
                <w:szCs w:val="20"/>
              </w:rPr>
            </w:pPr>
          </w:p>
        </w:tc>
        <w:tc>
          <w:tcPr>
            <w:tcW w:w="489" w:type="dxa"/>
            <w:vMerge w:val="restart"/>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b/>
                <w:kern w:val="0"/>
                <w:sz w:val="18"/>
                <w:szCs w:val="20"/>
              </w:rPr>
            </w:pPr>
            <w:r>
              <w:rPr>
                <w:rFonts w:hint="eastAsia" w:ascii="Times New Roman" w:hAnsi="Times New Roman" w:eastAsia="宋体" w:cs="宋体"/>
                <w:b/>
                <w:kern w:val="0"/>
                <w:sz w:val="18"/>
                <w:szCs w:val="20"/>
              </w:rPr>
              <w:t>专业必修课</w:t>
            </w:r>
            <w:r>
              <w:rPr>
                <w:rFonts w:hint="eastAsia" w:ascii="Times New Roman" w:hAnsi="Times New Roman" w:eastAsia="宋体" w:cs="宋体"/>
                <w:b w:val="0"/>
                <w:bCs/>
                <w:kern w:val="0"/>
                <w:sz w:val="18"/>
                <w:szCs w:val="18"/>
                <w:lang w:eastAsia="zh-CN"/>
              </w:rPr>
              <w:t>︵</w:t>
            </w:r>
            <w:r>
              <w:rPr>
                <w:rFonts w:hint="eastAsia" w:ascii="Times New Roman" w:hAnsi="Times New Roman" w:eastAsia="宋体" w:cs="宋体"/>
                <w:b w:val="0"/>
                <w:bCs/>
                <w:kern w:val="0"/>
                <w:sz w:val="18"/>
                <w:szCs w:val="18"/>
                <w:lang w:eastAsia="zh-CN"/>
              </w:rPr>
              <w:br w:type="textWrapping"/>
            </w:r>
            <w:r>
              <w:rPr>
                <w:rFonts w:hint="eastAsia" w:ascii="Times New Roman" w:hAnsi="Times New Roman" w:eastAsia="宋体" w:cs="宋体"/>
                <w:b w:val="0"/>
                <w:bCs/>
                <w:kern w:val="0"/>
                <w:sz w:val="18"/>
                <w:szCs w:val="18"/>
                <w:lang w:val="en-US" w:eastAsia="zh-CN"/>
              </w:rPr>
              <w:t>9学分</w:t>
            </w:r>
            <w:r>
              <w:rPr>
                <w:rFonts w:hint="eastAsia" w:ascii="Times New Roman" w:hAnsi="Times New Roman" w:eastAsia="宋体" w:cs="宋体"/>
                <w:b w:val="0"/>
                <w:bCs/>
                <w:kern w:val="0"/>
                <w:sz w:val="18"/>
                <w:szCs w:val="18"/>
                <w:lang w:eastAsia="zh-CN"/>
              </w:rPr>
              <w:t>︶</w:t>
            </w: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eastAsia" w:ascii="Times New Roman" w:hAnsi="Times New Roman" w:eastAsia="宋体" w:cs="宋体"/>
                <w:kern w:val="0"/>
                <w:sz w:val="18"/>
                <w:szCs w:val="20"/>
              </w:rPr>
            </w:pPr>
            <w:r>
              <w:rPr>
                <w:rFonts w:hint="eastAsia" w:ascii="Times New Roman" w:hAnsi="Times New Roman" w:eastAsia="宋体" w:cs="宋体"/>
                <w:sz w:val="18"/>
                <w:szCs w:val="20"/>
              </w:rPr>
              <w:t>S0502N101</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spacing w:val="-11"/>
                <w:sz w:val="18"/>
                <w:szCs w:val="20"/>
              </w:rPr>
              <w:t>外国语言文学研究前沿</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sz w:val="18"/>
                <w:szCs w:val="20"/>
              </w:rPr>
              <w:t>32</w:t>
            </w:r>
          </w:p>
        </w:tc>
        <w:tc>
          <w:tcPr>
            <w:tcW w:w="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w w:val="100"/>
                <w:sz w:val="18"/>
                <w:szCs w:val="20"/>
                <w:lang w:val="en-US" w:eastAsia="zh-CN"/>
              </w:rPr>
              <w:t>秋季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val="en-US" w:eastAsia="zh-CN"/>
              </w:rPr>
            </w:pPr>
            <w:r>
              <w:rPr>
                <w:rFonts w:hint="eastAsia" w:ascii="Times New Roman" w:hAnsi="Times New Roman" w:eastAsia="宋体" w:cs="宋体"/>
                <w:kern w:val="0"/>
                <w:sz w:val="18"/>
                <w:szCs w:val="20"/>
                <w:lang w:eastAsia="zh-CN"/>
              </w:rPr>
              <w:t>理论</w:t>
            </w:r>
          </w:p>
        </w:tc>
        <w:tc>
          <w:tcPr>
            <w:tcW w:w="1353" w:type="dxa"/>
            <w:vMerge w:val="restart"/>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color w:val="FF0000"/>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87" w:type="dxa"/>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489" w:type="dxa"/>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eastAsia" w:ascii="Times New Roman" w:hAnsi="Times New Roman" w:eastAsia="宋体" w:cs="宋体"/>
                <w:kern w:val="0"/>
                <w:sz w:val="18"/>
                <w:szCs w:val="20"/>
              </w:rPr>
            </w:pPr>
            <w:r>
              <w:rPr>
                <w:rFonts w:hint="eastAsia" w:ascii="Times New Roman" w:hAnsi="Times New Roman" w:eastAsia="宋体" w:cs="宋体"/>
                <w:sz w:val="18"/>
                <w:szCs w:val="20"/>
              </w:rPr>
              <w:t>S0502N102</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sz w:val="18"/>
                <w:szCs w:val="20"/>
              </w:rPr>
              <w:t>理论语言学</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w w:val="100"/>
                <w:sz w:val="18"/>
                <w:szCs w:val="20"/>
                <w:lang w:val="en-US" w:eastAsia="zh-CN"/>
              </w:rPr>
              <w:t>秋季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87" w:type="dxa"/>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489" w:type="dxa"/>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eastAsia" w:ascii="Times New Roman" w:hAnsi="Times New Roman" w:eastAsia="宋体" w:cs="宋体"/>
                <w:kern w:val="0"/>
                <w:sz w:val="18"/>
                <w:szCs w:val="20"/>
              </w:rPr>
            </w:pPr>
            <w:r>
              <w:rPr>
                <w:rFonts w:hint="eastAsia" w:ascii="Times New Roman" w:hAnsi="Times New Roman" w:eastAsia="宋体" w:cs="宋体"/>
                <w:sz w:val="18"/>
                <w:szCs w:val="20"/>
              </w:rPr>
              <w:t>S0502N103</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sz w:val="18"/>
                <w:szCs w:val="20"/>
              </w:rPr>
              <w:t>翻译概论</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w w:val="100"/>
                <w:sz w:val="18"/>
                <w:szCs w:val="20"/>
                <w:lang w:val="en-US" w:eastAsia="zh-CN"/>
              </w:rPr>
              <w:t>秋季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87" w:type="dxa"/>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489" w:type="dxa"/>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S0502N104</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西方文论</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w w:val="100"/>
                <w:sz w:val="18"/>
                <w:szCs w:val="20"/>
                <w:lang w:val="en-US" w:eastAsia="zh-CN"/>
              </w:rPr>
              <w:t>秋季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487" w:type="dxa"/>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489" w:type="dxa"/>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eastAsia" w:ascii="Times New Roman" w:hAnsi="Times New Roman" w:eastAsia="宋体" w:cs="宋体"/>
                <w:kern w:val="0"/>
                <w:sz w:val="18"/>
                <w:szCs w:val="20"/>
                <w:lang w:val="en-US" w:eastAsia="zh-CN" w:bidi="ar-SA"/>
              </w:rPr>
            </w:pPr>
            <w:r>
              <w:rPr>
                <w:rFonts w:hint="eastAsia" w:ascii="Times New Roman" w:hAnsi="Times New Roman" w:eastAsia="宋体" w:cs="宋体"/>
                <w:color w:val="000000"/>
                <w:spacing w:val="0"/>
                <w:w w:val="100"/>
                <w:sz w:val="18"/>
                <w:szCs w:val="20"/>
              </w:rPr>
              <w:t>S0502N105</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eastAsia" w:ascii="Times New Roman" w:hAnsi="Times New Roman" w:eastAsia="宋体" w:cs="宋体"/>
                <w:kern w:val="0"/>
                <w:sz w:val="18"/>
                <w:szCs w:val="20"/>
                <w:lang w:val="en-US" w:eastAsia="zh-CN" w:bidi="ar-SA"/>
              </w:rPr>
            </w:pPr>
            <w:r>
              <w:rPr>
                <w:rFonts w:hint="eastAsia" w:ascii="Times New Roman" w:hAnsi="Times New Roman" w:eastAsia="宋体" w:cs="宋体"/>
                <w:color w:val="000000"/>
                <w:spacing w:val="0"/>
                <w:w w:val="100"/>
                <w:sz w:val="18"/>
                <w:szCs w:val="20"/>
              </w:rPr>
              <w:t>论文写作指导</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lang w:val="en-US" w:eastAsia="zh-CN" w:bidi="ar-SA"/>
              </w:rPr>
            </w:pPr>
            <w:r>
              <w:rPr>
                <w:rFonts w:hint="eastAsia" w:ascii="Times New Roman" w:hAnsi="Times New Roman" w:eastAsia="宋体" w:cs="宋体"/>
                <w:color w:val="000000"/>
                <w:spacing w:val="0"/>
                <w:w w:val="100"/>
                <w:sz w:val="18"/>
                <w:szCs w:val="20"/>
              </w:rPr>
              <w:t>1</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lang w:val="en-US" w:eastAsia="zh-CN" w:bidi="ar-SA"/>
              </w:rPr>
            </w:pPr>
            <w:r>
              <w:rPr>
                <w:rFonts w:hint="eastAsia" w:ascii="Times New Roman" w:hAnsi="Times New Roman" w:eastAsia="宋体" w:cs="宋体"/>
                <w:color w:val="000000"/>
                <w:spacing w:val="0"/>
                <w:w w:val="100"/>
                <w:sz w:val="18"/>
                <w:szCs w:val="20"/>
              </w:rPr>
              <w:t>16</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lang w:val="en-US" w:eastAsia="zh-CN" w:bidi="ar-SA"/>
              </w:rPr>
            </w:pPr>
            <w:r>
              <w:rPr>
                <w:rFonts w:hint="eastAsia" w:ascii="Times New Roman" w:hAnsi="Times New Roman" w:eastAsia="宋体" w:cs="宋体"/>
                <w:w w:val="100"/>
                <w:sz w:val="18"/>
                <w:szCs w:val="20"/>
                <w:lang w:val="en-US" w:eastAsia="zh-CN"/>
              </w:rPr>
              <w:t>秋季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lang w:val="en-US" w:eastAsia="zh-CN" w:bidi="ar-SA"/>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val="en-US" w:eastAsia="zh-CN" w:bidi="ar-SA"/>
              </w:rPr>
            </w:pPr>
            <w:r>
              <w:rPr>
                <w:rFonts w:hint="eastAsia" w:ascii="Times New Roman" w:hAnsi="Times New Roman" w:eastAsia="宋体" w:cs="宋体"/>
                <w:kern w:val="0"/>
                <w:sz w:val="18"/>
                <w:szCs w:val="20"/>
                <w:lang w:eastAsia="zh-CN"/>
              </w:rPr>
              <w:t>理论</w:t>
            </w:r>
          </w:p>
        </w:tc>
        <w:tc>
          <w:tcPr>
            <w:tcW w:w="1353" w:type="dxa"/>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76" w:type="dxa"/>
            <w:gridSpan w:val="2"/>
            <w:vMerge w:val="restart"/>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b/>
                <w:kern w:val="0"/>
                <w:sz w:val="18"/>
                <w:szCs w:val="20"/>
              </w:rPr>
            </w:pPr>
            <w:r>
              <w:rPr>
                <w:rFonts w:hint="eastAsia" w:ascii="Times New Roman" w:hAnsi="Times New Roman" w:eastAsia="宋体" w:cs="宋体"/>
                <w:b/>
                <w:kern w:val="0"/>
                <w:sz w:val="18"/>
                <w:szCs w:val="20"/>
              </w:rPr>
              <w:t>专业</w:t>
            </w:r>
          </w:p>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b/>
                <w:kern w:val="0"/>
                <w:sz w:val="18"/>
                <w:szCs w:val="20"/>
              </w:rPr>
            </w:pPr>
            <w:r>
              <w:rPr>
                <w:rFonts w:hint="eastAsia" w:ascii="Times New Roman" w:hAnsi="Times New Roman" w:eastAsia="宋体" w:cs="宋体"/>
                <w:b/>
                <w:kern w:val="0"/>
                <w:sz w:val="18"/>
                <w:szCs w:val="20"/>
              </w:rPr>
              <w:t>选修课</w:t>
            </w:r>
          </w:p>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rPr>
              <w:t>（不少于</w:t>
            </w:r>
            <w:r>
              <w:rPr>
                <w:rFonts w:hint="eastAsia" w:ascii="Times New Roman" w:hAnsi="Times New Roman" w:eastAsia="宋体" w:cs="宋体"/>
                <w:kern w:val="0"/>
                <w:sz w:val="18"/>
                <w:szCs w:val="20"/>
                <w:lang w:val="en-US" w:eastAsia="zh-CN"/>
              </w:rPr>
              <w:t>15</w:t>
            </w:r>
            <w:r>
              <w:rPr>
                <w:rFonts w:hint="eastAsia" w:ascii="Times New Roman" w:hAnsi="Times New Roman" w:eastAsia="宋体" w:cs="宋体"/>
                <w:kern w:val="0"/>
                <w:sz w:val="18"/>
                <w:szCs w:val="20"/>
              </w:rPr>
              <w:t>学分）</w:t>
            </w: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S0502N221</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语言研究方法</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1</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16</w:t>
            </w:r>
          </w:p>
        </w:tc>
        <w:tc>
          <w:tcPr>
            <w:tcW w:w="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color w:val="000000"/>
                <w:spacing w:val="0"/>
                <w:w w:val="100"/>
                <w:sz w:val="18"/>
                <w:szCs w:val="20"/>
                <w:lang w:val="en-US" w:eastAsia="zh-CN"/>
              </w:rPr>
              <w:t>秋季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eastAsia="zh-CN"/>
              </w:rPr>
              <w:t>理论</w:t>
            </w:r>
          </w:p>
        </w:tc>
        <w:tc>
          <w:tcPr>
            <w:tcW w:w="1353"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S0502N202</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外语课程教学论</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lang w:val="en-US" w:eastAsia="zh-CN"/>
              </w:rPr>
            </w:pPr>
            <w:r>
              <w:rPr>
                <w:rFonts w:hint="eastAsia" w:ascii="Times New Roman" w:hAnsi="Times New Roman" w:eastAsia="宋体" w:cs="宋体"/>
                <w:kern w:val="0"/>
                <w:sz w:val="18"/>
                <w:szCs w:val="20"/>
                <w:lang w:val="en-US" w:eastAsia="zh-CN"/>
              </w:rPr>
              <w:t>秋季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eastAsia="zh-CN"/>
              </w:rPr>
              <w:t>理论</w:t>
            </w:r>
          </w:p>
        </w:tc>
        <w:tc>
          <w:tcPr>
            <w:tcW w:w="1353"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S0502N203</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文体学</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lang w:val="en-US" w:eastAsia="zh-CN"/>
              </w:rPr>
            </w:pPr>
            <w:r>
              <w:rPr>
                <w:rFonts w:hint="eastAsia" w:ascii="Times New Roman" w:hAnsi="Times New Roman" w:eastAsia="宋体" w:cs="宋体"/>
                <w:kern w:val="0"/>
                <w:sz w:val="18"/>
                <w:szCs w:val="20"/>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eastAsia="zh-CN"/>
              </w:rPr>
              <w:t>理论</w:t>
            </w:r>
          </w:p>
        </w:tc>
        <w:tc>
          <w:tcPr>
            <w:tcW w:w="1353"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S0502N204</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跨文化交际</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S0502N205</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英汉语比较与翻译</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S0502N206</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语用学</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restart"/>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val="en-US" w:eastAsia="zh-CN"/>
              </w:rPr>
            </w:pPr>
            <w:r>
              <w:rPr>
                <w:rFonts w:hint="eastAsia" w:ascii="Times New Roman" w:hAnsi="Times New Roman" w:eastAsia="宋体" w:cs="宋体"/>
                <w:kern w:val="0"/>
                <w:sz w:val="18"/>
                <w:szCs w:val="20"/>
                <w:lang w:val="en-US" w:eastAsia="zh-CN"/>
              </w:rPr>
              <w:t>外国语言学及应用语言学方向任选3门（6学分）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S0502N207</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语义学</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S0502N208</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认知语言学</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S0502N209</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应用语言学</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S0502N210</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话语分析</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S0502N211</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文学翻译</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restart"/>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翻译学方向任选3门（6学分）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S0502N212</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农业科技文献翻译</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S0502N213</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应用翻译</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S0502N214</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翻译批评与赏析</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S0502N215</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文学理论与批评</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restart"/>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比较文学与跨文化研究方向任选3门（6学分）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S0502N218</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现代英语小说研究</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理论</w:t>
            </w:r>
          </w:p>
        </w:tc>
        <w:tc>
          <w:tcPr>
            <w:tcW w:w="1353" w:type="dxa"/>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S0502N219</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11"/>
                <w:w w:val="100"/>
                <w:sz w:val="18"/>
                <w:szCs w:val="20"/>
              </w:rPr>
              <w:t>中外比较文学研究专题</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eastAsia="zh-CN"/>
              </w:rPr>
              <w:t>理论</w:t>
            </w:r>
          </w:p>
        </w:tc>
        <w:tc>
          <w:tcPr>
            <w:tcW w:w="1353" w:type="dxa"/>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S0502N220</w:t>
            </w: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11"/>
                <w:w w:val="100"/>
                <w:sz w:val="18"/>
                <w:szCs w:val="20"/>
              </w:rPr>
              <w:t>中外文化比较研究专题</w:t>
            </w:r>
          </w:p>
        </w:tc>
        <w:tc>
          <w:tcPr>
            <w:tcW w:w="385"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2</w:t>
            </w:r>
          </w:p>
        </w:tc>
        <w:tc>
          <w:tcPr>
            <w:tcW w:w="41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color w:val="000000"/>
                <w:spacing w:val="0"/>
                <w:w w:val="100"/>
                <w:sz w:val="18"/>
                <w:szCs w:val="20"/>
              </w:rPr>
              <w:t>32</w:t>
            </w:r>
          </w:p>
        </w:tc>
        <w:tc>
          <w:tcPr>
            <w:tcW w:w="6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auto"/>
              <w:rPr>
                <w:rFonts w:hint="eastAsia" w:ascii="Times New Roman" w:hAnsi="Times New Roman" w:eastAsia="宋体" w:cs="宋体"/>
                <w:kern w:val="0"/>
                <w:sz w:val="18"/>
                <w:szCs w:val="19"/>
              </w:rPr>
            </w:pPr>
            <w:r>
              <w:rPr>
                <w:rFonts w:hint="eastAsia" w:ascii="Times New Roman" w:hAnsi="Times New Roman" w:eastAsia="宋体" w:cs="宋体"/>
                <w:kern w:val="0"/>
                <w:sz w:val="18"/>
                <w:szCs w:val="19"/>
                <w:lang w:val="en-US" w:eastAsia="zh-CN"/>
              </w:rPr>
              <w:t>外语院</w:t>
            </w:r>
          </w:p>
        </w:tc>
        <w:tc>
          <w:tcPr>
            <w:tcW w:w="580"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eastAsia="zh-CN"/>
              </w:rPr>
              <w:t>理论</w:t>
            </w:r>
          </w:p>
        </w:tc>
        <w:tc>
          <w:tcPr>
            <w:tcW w:w="1353" w:type="dxa"/>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082" w:type="dxa"/>
            <w:gridSpan w:val="3"/>
            <w:noWrap/>
            <w:vAlign w:val="center"/>
          </w:tcPr>
          <w:p>
            <w:pPr>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b/>
                <w:kern w:val="0"/>
                <w:sz w:val="18"/>
                <w:szCs w:val="20"/>
              </w:rPr>
            </w:pPr>
            <w:r>
              <w:rPr>
                <w:rFonts w:hint="eastAsia" w:ascii="Times New Roman" w:hAnsi="Times New Roman" w:eastAsia="宋体" w:cs="宋体"/>
                <w:b/>
                <w:kern w:val="0"/>
                <w:sz w:val="18"/>
                <w:szCs w:val="20"/>
              </w:rPr>
              <w:t>公共选修课</w:t>
            </w:r>
          </w:p>
          <w:p>
            <w:pPr>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lang w:val="en-US" w:eastAsia="zh-CN"/>
              </w:rPr>
            </w:pPr>
            <w:r>
              <w:rPr>
                <w:rFonts w:hint="eastAsia" w:ascii="Times New Roman" w:hAnsi="Times New Roman" w:eastAsia="宋体" w:cs="宋体"/>
                <w:kern w:val="0"/>
                <w:sz w:val="18"/>
                <w:szCs w:val="20"/>
              </w:rPr>
              <w:t>（至少1学分）</w:t>
            </w:r>
          </w:p>
        </w:tc>
        <w:tc>
          <w:tcPr>
            <w:tcW w:w="6338" w:type="dxa"/>
            <w:gridSpan w:val="7"/>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both"/>
              <w:textAlignment w:val="auto"/>
              <w:rPr>
                <w:rFonts w:hint="eastAsia" w:ascii="Times New Roman" w:hAnsi="Times New Roman" w:eastAsia="宋体" w:cs="宋体"/>
                <w:kern w:val="0"/>
                <w:sz w:val="18"/>
                <w:szCs w:val="20"/>
                <w:lang w:val="en-US" w:eastAsia="zh-CN"/>
              </w:rPr>
            </w:pPr>
            <w:r>
              <w:rPr>
                <w:rFonts w:hint="eastAsia" w:ascii="Times New Roman" w:hAnsi="Times New Roman" w:eastAsia="宋体" w:cs="宋体"/>
                <w:kern w:val="0"/>
                <w:sz w:val="18"/>
                <w:szCs w:val="20"/>
                <w:lang w:val="en-US" w:eastAsia="zh-CN"/>
              </w:rPr>
              <w:t>从学校统一开设的课程目录中选修，具体课程见《湖南农业大学研究生公共选修课一览表》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420" w:type="dxa"/>
            <w:gridSpan w:val="10"/>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在导师指导下，除修完本学科要求的课程外，研究生还可选修其他学科的课程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976" w:type="dxa"/>
            <w:gridSpan w:val="2"/>
            <w:vMerge w:val="restart"/>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b/>
                <w:kern w:val="0"/>
                <w:sz w:val="18"/>
                <w:szCs w:val="20"/>
              </w:rPr>
            </w:pPr>
            <w:r>
              <w:rPr>
                <w:rFonts w:hint="eastAsia" w:ascii="Times New Roman" w:hAnsi="Times New Roman" w:eastAsia="宋体" w:cs="宋体"/>
                <w:b/>
                <w:kern w:val="0"/>
                <w:sz w:val="18"/>
                <w:szCs w:val="20"/>
              </w:rPr>
              <w:t>补修课</w:t>
            </w:r>
          </w:p>
        </w:tc>
        <w:tc>
          <w:tcPr>
            <w:tcW w:w="1106"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color w:val="000000"/>
                <w:spacing w:val="-11"/>
                <w:w w:val="100"/>
                <w:sz w:val="18"/>
                <w:szCs w:val="20"/>
              </w:rPr>
            </w:pPr>
            <w:r>
              <w:rPr>
                <w:rFonts w:hint="eastAsia" w:ascii="Times New Roman" w:hAnsi="Times New Roman" w:eastAsia="宋体" w:cs="宋体"/>
                <w:color w:val="000000"/>
                <w:spacing w:val="-11"/>
                <w:w w:val="100"/>
                <w:sz w:val="18"/>
                <w:szCs w:val="20"/>
              </w:rPr>
              <w:t>高级英语</w:t>
            </w:r>
          </w:p>
        </w:tc>
        <w:tc>
          <w:tcPr>
            <w:tcW w:w="385"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413"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641"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jc w:val="center"/>
              <w:textAlignment w:val="auto"/>
              <w:rPr>
                <w:rFonts w:hint="eastAsia" w:ascii="Times New Roman" w:hAnsi="Times New Roman" w:eastAsia="宋体" w:cs="宋体"/>
                <w:color w:val="auto"/>
                <w:kern w:val="0"/>
                <w:sz w:val="18"/>
                <w:szCs w:val="20"/>
                <w:highlight w:val="none"/>
                <w:lang w:val="en-US" w:eastAsia="zh-CN"/>
              </w:rPr>
            </w:pPr>
            <w:r>
              <w:rPr>
                <w:rFonts w:hint="eastAsia" w:ascii="Times New Roman" w:hAnsi="Times New Roman" w:eastAsia="宋体" w:cs="宋体"/>
                <w:color w:val="auto"/>
                <w:kern w:val="0"/>
                <w:sz w:val="18"/>
                <w:szCs w:val="20"/>
                <w:highlight w:val="none"/>
                <w:lang w:val="en-US" w:eastAsia="zh-CN"/>
              </w:rPr>
              <w:t>春秋季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jc w:val="center"/>
              <w:textAlignment w:val="auto"/>
              <w:rPr>
                <w:rFonts w:hint="eastAsia" w:ascii="Times New Roman" w:hAnsi="Times New Roman" w:eastAsia="宋体" w:cs="宋体"/>
                <w:kern w:val="0"/>
                <w:sz w:val="18"/>
                <w:szCs w:val="20"/>
                <w:lang w:val="en-US" w:eastAsia="zh-CN"/>
              </w:rPr>
            </w:pPr>
            <w:r>
              <w:rPr>
                <w:rFonts w:hint="eastAsia" w:ascii="Times New Roman" w:hAnsi="Times New Roman" w:eastAsia="宋体" w:cs="宋体"/>
                <w:kern w:val="0"/>
                <w:sz w:val="18"/>
                <w:szCs w:val="20"/>
                <w:lang w:val="en-US" w:eastAsia="zh-CN"/>
              </w:rPr>
              <w:t>外语院</w:t>
            </w:r>
          </w:p>
        </w:tc>
        <w:tc>
          <w:tcPr>
            <w:tcW w:w="1933"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jc w:val="both"/>
              <w:textAlignment w:val="auto"/>
              <w:rPr>
                <w:rFonts w:hint="eastAsia" w:ascii="Times New Roman" w:hAnsi="Times New Roman" w:eastAsia="宋体" w:cs="宋体"/>
                <w:kern w:val="0"/>
                <w:sz w:val="18"/>
                <w:szCs w:val="20"/>
                <w:lang w:eastAsia="zh-CN"/>
              </w:rPr>
            </w:pPr>
            <w:r>
              <w:rPr>
                <w:rFonts w:hint="eastAsia" w:ascii="Times New Roman" w:hAnsi="Times New Roman" w:eastAsia="宋体" w:cs="宋体"/>
                <w:kern w:val="0"/>
                <w:sz w:val="18"/>
                <w:szCs w:val="20"/>
                <w:lang w:eastAsia="zh-CN"/>
              </w:rPr>
              <w:t>跨一级学科或同等学力报考被录取的硕士生</w:t>
            </w:r>
            <w:r>
              <w:rPr>
                <w:rFonts w:hint="eastAsia" w:ascii="Times New Roman" w:hAnsi="Times New Roman" w:eastAsia="宋体" w:cs="宋体"/>
                <w:kern w:val="0"/>
                <w:sz w:val="18"/>
                <w:szCs w:val="20"/>
                <w:lang w:val="en-US" w:eastAsia="zh-CN"/>
              </w:rPr>
              <w:t>须补修本学科本科</w:t>
            </w:r>
            <w:r>
              <w:rPr>
                <w:rFonts w:hint="eastAsia" w:ascii="Times New Roman" w:hAnsi="Times New Roman" w:eastAsia="宋体" w:cs="宋体"/>
                <w:kern w:val="0"/>
                <w:sz w:val="18"/>
                <w:szCs w:val="20"/>
                <w:lang w:eastAsia="zh-CN"/>
              </w:rPr>
              <w:t>阶段主干课程</w:t>
            </w:r>
            <w:r>
              <w:rPr>
                <w:rFonts w:hint="eastAsia" w:ascii="Times New Roman" w:hAnsi="Times New Roman" w:eastAsia="宋体" w:cs="宋体"/>
                <w:kern w:val="0"/>
                <w:sz w:val="18"/>
                <w:szCs w:val="20"/>
                <w:lang w:val="en-US" w:eastAsia="zh-CN"/>
              </w:rPr>
              <w:t>3-5门</w:t>
            </w:r>
            <w:r>
              <w:rPr>
                <w:rFonts w:hint="eastAsia" w:ascii="Times New Roman" w:hAnsi="Times New Roman" w:eastAsia="宋体" w:cs="宋体"/>
                <w:kern w:val="0"/>
                <w:sz w:val="18"/>
                <w:szCs w:val="20"/>
                <w:lang w:eastAsia="zh-CN"/>
              </w:rPr>
              <w:t>，须在中期考核前完成，不计入总学分。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color w:val="000000"/>
                <w:spacing w:val="-11"/>
                <w:w w:val="100"/>
                <w:sz w:val="18"/>
                <w:szCs w:val="20"/>
              </w:rPr>
            </w:pPr>
            <w:r>
              <w:rPr>
                <w:rFonts w:hint="eastAsia" w:ascii="Times New Roman" w:hAnsi="Times New Roman" w:eastAsia="宋体" w:cs="宋体"/>
                <w:color w:val="000000"/>
                <w:spacing w:val="-11"/>
                <w:w w:val="100"/>
                <w:sz w:val="18"/>
                <w:szCs w:val="20"/>
              </w:rPr>
              <w:t>写作</w:t>
            </w:r>
          </w:p>
        </w:tc>
        <w:tc>
          <w:tcPr>
            <w:tcW w:w="385"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413"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641"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color w:val="auto"/>
                <w:kern w:val="0"/>
                <w:sz w:val="18"/>
                <w:szCs w:val="20"/>
                <w:highlight w:val="none"/>
              </w:rPr>
            </w:pPr>
            <w:r>
              <w:rPr>
                <w:rFonts w:hint="eastAsia" w:ascii="Times New Roman" w:hAnsi="Times New Roman" w:eastAsia="宋体" w:cs="宋体"/>
                <w:color w:val="auto"/>
                <w:kern w:val="0"/>
                <w:sz w:val="18"/>
                <w:szCs w:val="20"/>
                <w:highlight w:val="none"/>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外语院</w:t>
            </w:r>
          </w:p>
        </w:tc>
        <w:tc>
          <w:tcPr>
            <w:tcW w:w="1933" w:type="dxa"/>
            <w:gridSpan w:val="2"/>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976" w:type="dxa"/>
            <w:gridSpan w:val="2"/>
            <w:vMerge w:val="continue"/>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1106"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2183" w:type="dxa"/>
            <w:noWrap/>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eastAsia" w:ascii="Times New Roman" w:hAnsi="Times New Roman" w:eastAsia="宋体" w:cs="宋体"/>
                <w:color w:val="000000"/>
                <w:spacing w:val="-11"/>
                <w:w w:val="100"/>
                <w:sz w:val="18"/>
                <w:szCs w:val="20"/>
              </w:rPr>
            </w:pPr>
            <w:r>
              <w:rPr>
                <w:rFonts w:hint="eastAsia" w:ascii="Times New Roman" w:hAnsi="Times New Roman" w:eastAsia="宋体" w:cs="宋体"/>
                <w:color w:val="000000"/>
                <w:spacing w:val="-11"/>
                <w:w w:val="100"/>
                <w:sz w:val="18"/>
                <w:szCs w:val="20"/>
              </w:rPr>
              <w:t>翻译基础</w:t>
            </w:r>
          </w:p>
        </w:tc>
        <w:tc>
          <w:tcPr>
            <w:tcW w:w="385"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413"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c>
          <w:tcPr>
            <w:tcW w:w="641" w:type="dxa"/>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color w:val="auto"/>
                <w:kern w:val="0"/>
                <w:sz w:val="18"/>
                <w:szCs w:val="20"/>
                <w:highlight w:val="none"/>
              </w:rPr>
            </w:pPr>
            <w:r>
              <w:rPr>
                <w:rFonts w:hint="eastAsia" w:ascii="Times New Roman" w:hAnsi="Times New Roman" w:eastAsia="宋体" w:cs="宋体"/>
                <w:color w:val="auto"/>
                <w:kern w:val="0"/>
                <w:sz w:val="18"/>
                <w:szCs w:val="20"/>
                <w:highlight w:val="none"/>
                <w:lang w:val="en-US" w:eastAsia="zh-CN"/>
              </w:rPr>
              <w:t>春季</w:t>
            </w:r>
          </w:p>
        </w:tc>
        <w:tc>
          <w:tcPr>
            <w:tcW w:w="783" w:type="dxa"/>
            <w:noWrap/>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jc w:val="center"/>
              <w:textAlignment w:val="auto"/>
              <w:rPr>
                <w:rFonts w:hint="eastAsia" w:ascii="Times New Roman" w:hAnsi="Times New Roman" w:eastAsia="宋体" w:cs="宋体"/>
                <w:kern w:val="0"/>
                <w:sz w:val="18"/>
                <w:szCs w:val="20"/>
              </w:rPr>
            </w:pPr>
            <w:r>
              <w:rPr>
                <w:rFonts w:hint="eastAsia" w:ascii="Times New Roman" w:hAnsi="Times New Roman" w:eastAsia="宋体" w:cs="宋体"/>
                <w:kern w:val="0"/>
                <w:sz w:val="18"/>
                <w:szCs w:val="20"/>
                <w:lang w:val="en-US" w:eastAsia="zh-CN"/>
              </w:rPr>
              <w:t>外语院</w:t>
            </w:r>
          </w:p>
        </w:tc>
        <w:tc>
          <w:tcPr>
            <w:tcW w:w="1933" w:type="dxa"/>
            <w:gridSpan w:val="2"/>
            <w:vMerge w:val="continue"/>
            <w:noWrap w:val="0"/>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eastAsia" w:ascii="Times New Roman" w:hAnsi="Times New Roman" w:eastAsia="宋体" w:cs="宋体"/>
                <w:kern w:val="0"/>
                <w:sz w:val="18"/>
                <w:szCs w:val="20"/>
              </w:rPr>
            </w:pPr>
          </w:p>
        </w:tc>
      </w:tr>
    </w:tbl>
    <w:p>
      <w:pPr>
        <w:rPr>
          <w:rFonts w:hint="eastAsia" w:ascii="Times New Roman" w:hAnsi="Times New Roman" w:eastAsia="宋体" w:cs="宋体"/>
          <w:sz w:val="24"/>
          <w:szCs w:val="24"/>
          <w:lang w:val="en-US" w:eastAsia="zh-CN"/>
        </w:rPr>
      </w:pPr>
    </w:p>
    <w:p>
      <w:pPr>
        <w:pStyle w:val="2"/>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表7 学科主要书目和教材</w:t>
      </w:r>
    </w:p>
    <w:tbl>
      <w:tblPr>
        <w:tblStyle w:val="7"/>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5388"/>
        <w:gridCol w:w="151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5388" w:type="dxa"/>
            <w:noWrap w:val="0"/>
            <w:vAlign w:val="center"/>
          </w:tcPr>
          <w:p>
            <w:pPr>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著作名称</w:t>
            </w:r>
          </w:p>
        </w:tc>
        <w:tc>
          <w:tcPr>
            <w:tcW w:w="1512" w:type="dxa"/>
            <w:noWrap w:val="0"/>
            <w:vAlign w:val="center"/>
          </w:tcPr>
          <w:p>
            <w:pPr>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作者</w:t>
            </w:r>
          </w:p>
        </w:tc>
        <w:tc>
          <w:tcPr>
            <w:tcW w:w="960" w:type="dxa"/>
            <w:noWrap w:val="0"/>
            <w:vAlign w:val="center"/>
          </w:tcPr>
          <w:p>
            <w:pPr>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1</w:t>
            </w:r>
          </w:p>
        </w:tc>
        <w:tc>
          <w:tcPr>
            <w:tcW w:w="5388"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i w:val="0"/>
                <w:iCs/>
                <w:color w:val="000000"/>
                <w:spacing w:val="0"/>
                <w:w w:val="100"/>
                <w:sz w:val="18"/>
                <w:szCs w:val="18"/>
              </w:rPr>
              <w:t>General Linguistics</w:t>
            </w:r>
            <w:r>
              <w:rPr>
                <w:rFonts w:hint="default" w:ascii="Times New Roman" w:hAnsi="Times New Roman" w:cs="Times New Roman"/>
                <w:i w:val="0"/>
                <w:iCs/>
                <w:color w:val="000000"/>
                <w:spacing w:val="0"/>
                <w:w w:val="100"/>
                <w:sz w:val="18"/>
                <w:szCs w:val="18"/>
                <w:lang w:eastAsia="zh-CN"/>
              </w:rPr>
              <w:t>（</w:t>
            </w:r>
            <w:r>
              <w:rPr>
                <w:rFonts w:hint="default" w:ascii="Times New Roman" w:hAnsi="Times New Roman" w:eastAsia="宋体" w:cs="Times New Roman"/>
                <w:i w:val="0"/>
                <w:iCs w:val="0"/>
                <w:color w:val="000000"/>
                <w:spacing w:val="0"/>
                <w:w w:val="100"/>
                <w:sz w:val="18"/>
                <w:szCs w:val="18"/>
              </w:rPr>
              <w:t>Beijing</w:t>
            </w:r>
            <w:r>
              <w:rPr>
                <w:rFonts w:hint="default" w:ascii="Times New Roman" w:hAnsi="Times New Roman" w:cs="Times New Roman"/>
                <w:i w:val="0"/>
                <w:iCs w:val="0"/>
                <w:color w:val="000000"/>
                <w:spacing w:val="0"/>
                <w:w w:val="100"/>
                <w:sz w:val="18"/>
                <w:szCs w:val="18"/>
                <w:lang w:eastAsia="zh-CN"/>
              </w:rPr>
              <w:t>：</w:t>
            </w:r>
            <w:r>
              <w:rPr>
                <w:rFonts w:hint="default" w:ascii="Times New Roman" w:hAnsi="Times New Roman" w:eastAsia="宋体" w:cs="Times New Roman"/>
                <w:i w:val="0"/>
                <w:iCs w:val="0"/>
                <w:color w:val="000000"/>
                <w:spacing w:val="0"/>
                <w:w w:val="100"/>
                <w:sz w:val="18"/>
                <w:szCs w:val="18"/>
              </w:rPr>
              <w:t>Foreign</w:t>
            </w:r>
            <w:r>
              <w:rPr>
                <w:rFonts w:hint="default" w:ascii="Times New Roman" w:hAnsi="Times New Roman" w:cs="Times New Roman"/>
                <w:i w:val="0"/>
                <w:iCs w:val="0"/>
                <w:color w:val="000000"/>
                <w:spacing w:val="0"/>
                <w:w w:val="100"/>
                <w:sz w:val="18"/>
                <w:szCs w:val="18"/>
                <w:lang w:val="en-US" w:eastAsia="zh-CN"/>
              </w:rPr>
              <w:t xml:space="preserve"> </w:t>
            </w:r>
            <w:r>
              <w:rPr>
                <w:rFonts w:hint="default" w:ascii="Times New Roman" w:hAnsi="Times New Roman" w:eastAsia="宋体" w:cs="Times New Roman"/>
                <w:i w:val="0"/>
                <w:iCs w:val="0"/>
                <w:color w:val="000000"/>
                <w:spacing w:val="0"/>
                <w:w w:val="100"/>
                <w:sz w:val="18"/>
                <w:szCs w:val="18"/>
              </w:rPr>
              <w:t>Language Teaching and Research</w:t>
            </w:r>
            <w:r>
              <w:rPr>
                <w:rFonts w:hint="default" w:ascii="Times New Roman" w:hAnsi="Times New Roman" w:cs="Times New Roman"/>
                <w:i w:val="0"/>
                <w:iCs w:val="0"/>
                <w:color w:val="000000"/>
                <w:spacing w:val="0"/>
                <w:w w:val="100"/>
                <w:sz w:val="18"/>
                <w:szCs w:val="18"/>
                <w:lang w:val="en-US" w:eastAsia="zh-CN"/>
              </w:rPr>
              <w:t xml:space="preserve"> </w:t>
            </w:r>
            <w:r>
              <w:rPr>
                <w:rFonts w:hint="default" w:ascii="Times New Roman" w:hAnsi="Times New Roman" w:eastAsia="宋体" w:cs="Times New Roman"/>
                <w:i w:val="0"/>
                <w:iCs w:val="0"/>
                <w:color w:val="000000"/>
                <w:spacing w:val="0"/>
                <w:w w:val="100"/>
                <w:sz w:val="18"/>
                <w:szCs w:val="18"/>
              </w:rPr>
              <w:t>Press.</w:t>
            </w:r>
            <w:r>
              <w:rPr>
                <w:rFonts w:hint="default" w:ascii="Times New Roman" w:hAnsi="Times New Roman" w:cs="Times New Roman"/>
                <w:i w:val="0"/>
                <w:iCs/>
                <w:color w:val="000000"/>
                <w:spacing w:val="0"/>
                <w:w w:val="100"/>
                <w:sz w:val="18"/>
                <w:szCs w:val="18"/>
                <w:lang w:eastAsia="zh-CN"/>
              </w:rPr>
              <w:t>）</w:t>
            </w:r>
          </w:p>
        </w:tc>
        <w:tc>
          <w:tcPr>
            <w:tcW w:w="151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i w:val="0"/>
                <w:iCs w:val="0"/>
                <w:color w:val="000000"/>
                <w:spacing w:val="0"/>
                <w:w w:val="100"/>
                <w:sz w:val="18"/>
                <w:szCs w:val="18"/>
              </w:rPr>
              <w:t>Robins</w:t>
            </w:r>
            <w:r>
              <w:rPr>
                <w:rFonts w:hint="eastAsia" w:ascii="Times New Roman" w:hAnsi="Times New Roman" w:cs="Times New Roman"/>
                <w:i w:val="0"/>
                <w:iCs w:val="0"/>
                <w:color w:val="000000"/>
                <w:spacing w:val="0"/>
                <w:w w:val="100"/>
                <w:sz w:val="18"/>
                <w:szCs w:val="18"/>
                <w:lang w:eastAsia="zh-CN"/>
              </w:rPr>
              <w:t>，</w:t>
            </w:r>
            <w:r>
              <w:rPr>
                <w:rFonts w:hint="default" w:ascii="Times New Roman" w:hAnsi="Times New Roman" w:eastAsia="宋体" w:cs="Times New Roman"/>
                <w:i w:val="0"/>
                <w:iCs w:val="0"/>
                <w:color w:val="000000"/>
                <w:spacing w:val="0"/>
                <w:w w:val="100"/>
                <w:sz w:val="18"/>
                <w:szCs w:val="18"/>
              </w:rPr>
              <w:t>R. H.</w:t>
            </w:r>
          </w:p>
        </w:tc>
        <w:tc>
          <w:tcPr>
            <w:tcW w:w="960" w:type="dxa"/>
            <w:noWrap w:val="0"/>
            <w:vAlign w:val="center"/>
          </w:tcPr>
          <w:p>
            <w:pPr>
              <w:pStyle w:val="15"/>
              <w:keepNext w:val="0"/>
              <w:keepLines w:val="0"/>
              <w:pageBreakBefore w:val="0"/>
              <w:kinsoku/>
              <w:wordWrap/>
              <w:overflowPunct/>
              <w:topLinePunct w:val="0"/>
              <w:bidi w:val="0"/>
              <w:spacing w:line="260" w:lineRule="exact"/>
              <w:ind w:left="0" w:leftChars="0" w:right="0" w:righ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2</w:t>
            </w:r>
          </w:p>
        </w:tc>
        <w:tc>
          <w:tcPr>
            <w:tcW w:w="5388"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i w:val="0"/>
                <w:iCs/>
                <w:color w:val="000000"/>
                <w:spacing w:val="0"/>
                <w:w w:val="100"/>
                <w:sz w:val="18"/>
                <w:szCs w:val="18"/>
              </w:rPr>
              <w:t>Course in General Linguistics</w:t>
            </w:r>
            <w:r>
              <w:rPr>
                <w:rFonts w:hint="default" w:ascii="Times New Roman" w:hAnsi="Times New Roman" w:cs="Times New Roman"/>
                <w:i w:val="0"/>
                <w:iCs/>
                <w:color w:val="000000"/>
                <w:spacing w:val="0"/>
                <w:w w:val="100"/>
                <w:sz w:val="18"/>
                <w:szCs w:val="18"/>
                <w:lang w:eastAsia="zh-CN"/>
              </w:rPr>
              <w:t>（</w:t>
            </w:r>
            <w:r>
              <w:rPr>
                <w:rFonts w:hint="default" w:ascii="Times New Roman" w:hAnsi="Times New Roman" w:eastAsia="宋体" w:cs="Times New Roman"/>
                <w:i w:val="0"/>
                <w:iCs w:val="0"/>
                <w:color w:val="000000"/>
                <w:spacing w:val="0"/>
                <w:w w:val="100"/>
                <w:sz w:val="18"/>
                <w:szCs w:val="18"/>
              </w:rPr>
              <w:t>Beijing</w:t>
            </w:r>
            <w:r>
              <w:rPr>
                <w:rFonts w:hint="default" w:ascii="Times New Roman" w:hAnsi="Times New Roman" w:cs="Times New Roman"/>
                <w:i w:val="0"/>
                <w:iCs w:val="0"/>
                <w:color w:val="000000"/>
                <w:spacing w:val="0"/>
                <w:w w:val="100"/>
                <w:sz w:val="18"/>
                <w:szCs w:val="18"/>
                <w:lang w:val="en-US" w:eastAsia="zh-CN"/>
              </w:rPr>
              <w:t>：</w:t>
            </w:r>
            <w:r>
              <w:rPr>
                <w:rFonts w:hint="default" w:ascii="Times New Roman" w:hAnsi="Times New Roman" w:eastAsia="宋体" w:cs="Times New Roman"/>
                <w:i w:val="0"/>
                <w:iCs w:val="0"/>
                <w:color w:val="000000"/>
                <w:spacing w:val="0"/>
                <w:w w:val="100"/>
                <w:sz w:val="18"/>
                <w:szCs w:val="18"/>
              </w:rPr>
              <w:t>Foreign Language Teaching and Research</w:t>
            </w:r>
            <w:r>
              <w:rPr>
                <w:rFonts w:hint="default" w:ascii="Times New Roman" w:hAnsi="Times New Roman" w:cs="Times New Roman"/>
                <w:i w:val="0"/>
                <w:iCs w:val="0"/>
                <w:color w:val="000000"/>
                <w:spacing w:val="0"/>
                <w:w w:val="100"/>
                <w:sz w:val="18"/>
                <w:szCs w:val="18"/>
                <w:lang w:val="en-US" w:eastAsia="zh-CN"/>
              </w:rPr>
              <w:t xml:space="preserve"> </w:t>
            </w:r>
            <w:r>
              <w:rPr>
                <w:rFonts w:hint="default" w:ascii="Times New Roman" w:hAnsi="Times New Roman" w:eastAsia="宋体" w:cs="Times New Roman"/>
                <w:i w:val="0"/>
                <w:iCs w:val="0"/>
                <w:color w:val="000000"/>
                <w:spacing w:val="0"/>
                <w:w w:val="100"/>
                <w:sz w:val="18"/>
                <w:szCs w:val="18"/>
              </w:rPr>
              <w:t>Press.</w:t>
            </w:r>
            <w:r>
              <w:rPr>
                <w:rFonts w:hint="default" w:ascii="Times New Roman" w:hAnsi="Times New Roman" w:cs="Times New Roman"/>
                <w:i w:val="0"/>
                <w:iCs/>
                <w:color w:val="000000"/>
                <w:spacing w:val="0"/>
                <w:w w:val="100"/>
                <w:sz w:val="18"/>
                <w:szCs w:val="18"/>
                <w:lang w:eastAsia="zh-CN"/>
              </w:rPr>
              <w:t>）</w:t>
            </w:r>
          </w:p>
        </w:tc>
        <w:tc>
          <w:tcPr>
            <w:tcW w:w="151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000000"/>
                <w:spacing w:val="0"/>
                <w:w w:val="100"/>
                <w:sz w:val="18"/>
                <w:szCs w:val="18"/>
              </w:rPr>
              <w:t>Saussure. F</w:t>
            </w:r>
          </w:p>
        </w:tc>
        <w:tc>
          <w:tcPr>
            <w:tcW w:w="960" w:type="dxa"/>
            <w:noWrap w:val="0"/>
            <w:vAlign w:val="center"/>
          </w:tcPr>
          <w:p>
            <w:pPr>
              <w:pStyle w:val="15"/>
              <w:keepNext w:val="0"/>
              <w:keepLines w:val="0"/>
              <w:pageBreakBefore w:val="0"/>
              <w:kinsoku/>
              <w:wordWrap/>
              <w:overflowPunct/>
              <w:topLinePunct w:val="0"/>
              <w:bidi w:val="0"/>
              <w:spacing w:line="260" w:lineRule="exact"/>
              <w:ind w:left="0" w:leftChars="0" w:right="0" w:righ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3</w:t>
            </w:r>
          </w:p>
        </w:tc>
        <w:tc>
          <w:tcPr>
            <w:tcW w:w="5388"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180" w:leftChars="0" w:right="0" w:rightChars="0" w:hanging="180" w:hangingChars="100"/>
              <w:jc w:val="left"/>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i w:val="0"/>
                <w:iCs/>
                <w:color w:val="000000"/>
                <w:spacing w:val="0"/>
                <w:w w:val="100"/>
                <w:sz w:val="18"/>
                <w:szCs w:val="18"/>
              </w:rPr>
              <w:t>T</w:t>
            </w:r>
            <w:r>
              <w:rPr>
                <w:rFonts w:hint="default" w:ascii="Times New Roman" w:hAnsi="Times New Roman" w:eastAsia="宋体" w:cs="Times New Roman"/>
                <w:i w:val="0"/>
                <w:iCs/>
                <w:color w:val="000000"/>
                <w:spacing w:val="-6"/>
                <w:w w:val="100"/>
                <w:sz w:val="18"/>
                <w:szCs w:val="18"/>
              </w:rPr>
              <w:t>ranslation and Translating：Theory and</w:t>
            </w:r>
            <w:r>
              <w:rPr>
                <w:rFonts w:hint="default" w:ascii="Times New Roman" w:hAnsi="Times New Roman" w:cs="Times New Roman"/>
                <w:i w:val="0"/>
                <w:iCs/>
                <w:color w:val="000000"/>
                <w:spacing w:val="-6"/>
                <w:w w:val="100"/>
                <w:sz w:val="18"/>
                <w:szCs w:val="18"/>
                <w:lang w:val="en-US" w:eastAsia="zh-CN"/>
              </w:rPr>
              <w:t xml:space="preserve"> </w:t>
            </w:r>
            <w:r>
              <w:rPr>
                <w:rFonts w:hint="default" w:ascii="Times New Roman" w:hAnsi="Times New Roman" w:eastAsia="宋体" w:cs="Times New Roman"/>
                <w:i w:val="0"/>
                <w:iCs/>
                <w:color w:val="000000"/>
                <w:spacing w:val="0"/>
                <w:w w:val="100"/>
                <w:sz w:val="18"/>
                <w:szCs w:val="18"/>
              </w:rPr>
              <w:t>Practise</w:t>
            </w:r>
            <w:r>
              <w:rPr>
                <w:rFonts w:hint="default" w:ascii="Times New Roman" w:hAnsi="Times New Roman" w:cs="Times New Roman"/>
                <w:i w:val="0"/>
                <w:iCs/>
                <w:color w:val="000000"/>
                <w:spacing w:val="0"/>
                <w:w w:val="100"/>
                <w:sz w:val="18"/>
                <w:szCs w:val="18"/>
                <w:lang w:eastAsia="zh-CN"/>
              </w:rPr>
              <w:t>（</w:t>
            </w:r>
            <w:r>
              <w:rPr>
                <w:rFonts w:hint="default" w:ascii="Times New Roman" w:hAnsi="Times New Roman" w:eastAsia="宋体" w:cs="Times New Roman"/>
                <w:i w:val="0"/>
                <w:iCs w:val="0"/>
                <w:color w:val="000000"/>
                <w:spacing w:val="-6"/>
                <w:w w:val="100"/>
                <w:sz w:val="18"/>
                <w:szCs w:val="18"/>
              </w:rPr>
              <w:t>Beijing：Foreign</w:t>
            </w:r>
            <w:r>
              <w:rPr>
                <w:rFonts w:hint="default" w:ascii="Times New Roman" w:hAnsi="Times New Roman" w:cs="Times New Roman"/>
                <w:i w:val="0"/>
                <w:iCs w:val="0"/>
                <w:color w:val="000000"/>
                <w:spacing w:val="-6"/>
                <w:w w:val="100"/>
                <w:sz w:val="18"/>
                <w:szCs w:val="18"/>
                <w:lang w:val="en-US" w:eastAsia="zh-CN"/>
              </w:rPr>
              <w:t xml:space="preserve"> </w:t>
            </w:r>
            <w:r>
              <w:rPr>
                <w:rFonts w:hint="default" w:ascii="Times New Roman" w:hAnsi="Times New Roman" w:eastAsia="宋体" w:cs="Times New Roman"/>
                <w:i w:val="0"/>
                <w:iCs w:val="0"/>
                <w:color w:val="000000"/>
                <w:spacing w:val="-6"/>
                <w:w w:val="100"/>
                <w:sz w:val="18"/>
                <w:szCs w:val="18"/>
              </w:rPr>
              <w:t>Language Teaching and</w:t>
            </w:r>
            <w:r>
              <w:rPr>
                <w:rFonts w:hint="default" w:ascii="Times New Roman" w:hAnsi="Times New Roman" w:cs="Times New Roman"/>
                <w:i w:val="0"/>
                <w:iCs w:val="0"/>
                <w:color w:val="000000"/>
                <w:spacing w:val="-6"/>
                <w:w w:val="100"/>
                <w:sz w:val="18"/>
                <w:szCs w:val="18"/>
                <w:lang w:val="en-US" w:eastAsia="zh-CN"/>
              </w:rPr>
              <w:t xml:space="preserve"> </w:t>
            </w:r>
            <w:r>
              <w:rPr>
                <w:rFonts w:hint="default" w:ascii="Times New Roman" w:hAnsi="Times New Roman" w:eastAsia="宋体" w:cs="Times New Roman"/>
                <w:i w:val="0"/>
                <w:iCs w:val="0"/>
                <w:color w:val="000000"/>
                <w:spacing w:val="-6"/>
                <w:w w:val="100"/>
                <w:sz w:val="18"/>
                <w:szCs w:val="18"/>
              </w:rPr>
              <w:t>Research</w:t>
            </w:r>
            <w:r>
              <w:rPr>
                <w:rFonts w:hint="default" w:ascii="Times New Roman" w:hAnsi="Times New Roman" w:cs="Times New Roman"/>
                <w:i w:val="0"/>
                <w:iCs w:val="0"/>
                <w:color w:val="000000"/>
                <w:spacing w:val="-6"/>
                <w:w w:val="100"/>
                <w:sz w:val="18"/>
                <w:szCs w:val="18"/>
                <w:lang w:val="en-US" w:eastAsia="zh-CN"/>
              </w:rPr>
              <w:t xml:space="preserve"> </w:t>
            </w:r>
            <w:r>
              <w:rPr>
                <w:rFonts w:hint="default" w:ascii="Times New Roman" w:hAnsi="Times New Roman" w:eastAsia="宋体" w:cs="Times New Roman"/>
                <w:i w:val="0"/>
                <w:iCs w:val="0"/>
                <w:color w:val="000000"/>
                <w:spacing w:val="-6"/>
                <w:w w:val="100"/>
                <w:sz w:val="18"/>
                <w:szCs w:val="18"/>
              </w:rPr>
              <w:t>Press</w:t>
            </w:r>
            <w:r>
              <w:rPr>
                <w:rFonts w:hint="default" w:ascii="Times New Roman" w:hAnsi="Times New Roman" w:cs="Times New Roman"/>
                <w:i w:val="0"/>
                <w:iCs/>
                <w:color w:val="000000"/>
                <w:spacing w:val="0"/>
                <w:w w:val="100"/>
                <w:sz w:val="18"/>
                <w:szCs w:val="18"/>
                <w:lang w:eastAsia="zh-CN"/>
              </w:rPr>
              <w:t>）</w:t>
            </w:r>
          </w:p>
        </w:tc>
        <w:tc>
          <w:tcPr>
            <w:tcW w:w="151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168" w:leftChars="0" w:right="0" w:rightChars="0" w:hanging="168" w:hangingChars="100"/>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i w:val="0"/>
                <w:iCs w:val="0"/>
                <w:color w:val="000000"/>
                <w:spacing w:val="-6"/>
                <w:w w:val="100"/>
                <w:sz w:val="18"/>
                <w:szCs w:val="18"/>
              </w:rPr>
              <w:t>Bell</w:t>
            </w:r>
            <w:r>
              <w:rPr>
                <w:rFonts w:hint="eastAsia" w:ascii="Times New Roman" w:hAnsi="Times New Roman" w:cs="Times New Roman"/>
                <w:i w:val="0"/>
                <w:iCs w:val="0"/>
                <w:color w:val="000000"/>
                <w:spacing w:val="-6"/>
                <w:w w:val="100"/>
                <w:sz w:val="18"/>
                <w:szCs w:val="18"/>
                <w:lang w:eastAsia="zh-CN"/>
              </w:rPr>
              <w:t>，</w:t>
            </w:r>
            <w:r>
              <w:rPr>
                <w:rFonts w:hint="default" w:ascii="Times New Roman" w:hAnsi="Times New Roman" w:eastAsia="宋体" w:cs="Times New Roman"/>
                <w:i w:val="0"/>
                <w:iCs w:val="0"/>
                <w:color w:val="000000"/>
                <w:spacing w:val="-6"/>
                <w:w w:val="100"/>
                <w:sz w:val="18"/>
                <w:szCs w:val="18"/>
              </w:rPr>
              <w:t>R. T. .</w:t>
            </w:r>
          </w:p>
        </w:tc>
        <w:tc>
          <w:tcPr>
            <w:tcW w:w="960" w:type="dxa"/>
            <w:noWrap w:val="0"/>
            <w:vAlign w:val="center"/>
          </w:tcPr>
          <w:p>
            <w:pPr>
              <w:pStyle w:val="15"/>
              <w:keepNext w:val="0"/>
              <w:keepLines w:val="0"/>
              <w:pageBreakBefore w:val="0"/>
              <w:kinsoku/>
              <w:wordWrap/>
              <w:overflowPunct/>
              <w:topLinePunct w:val="0"/>
              <w:bidi w:val="0"/>
              <w:spacing w:line="260" w:lineRule="exact"/>
              <w:ind w:left="0" w:leftChars="0" w:right="0" w:righ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4</w:t>
            </w:r>
          </w:p>
        </w:tc>
        <w:tc>
          <w:tcPr>
            <w:tcW w:w="5388"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180" w:leftChars="0" w:right="0" w:rightChars="0" w:hanging="180" w:hangingChars="100"/>
              <w:jc w:val="both"/>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i/>
                <w:color w:val="000000"/>
                <w:spacing w:val="0"/>
                <w:w w:val="100"/>
                <w:sz w:val="18"/>
                <w:szCs w:val="18"/>
              </w:rPr>
              <w:t>Language</w:t>
            </w:r>
            <w:r>
              <w:rPr>
                <w:rFonts w:hint="eastAsia" w:ascii="Times New Roman" w:hAnsi="Times New Roman" w:cs="Times New Roman"/>
                <w:i/>
                <w:color w:val="000000"/>
                <w:spacing w:val="0"/>
                <w:w w:val="100"/>
                <w:sz w:val="18"/>
                <w:szCs w:val="18"/>
                <w:lang w:eastAsia="zh-CN"/>
              </w:rPr>
              <w:t>，</w:t>
            </w:r>
            <w:r>
              <w:rPr>
                <w:rFonts w:hint="default" w:ascii="Times New Roman" w:hAnsi="Times New Roman" w:eastAsia="宋体" w:cs="Times New Roman"/>
                <w:i/>
                <w:color w:val="000000"/>
                <w:spacing w:val="0"/>
                <w:w w:val="100"/>
                <w:sz w:val="18"/>
                <w:szCs w:val="18"/>
              </w:rPr>
              <w:t>Culture and Translation</w:t>
            </w:r>
            <w:r>
              <w:rPr>
                <w:rFonts w:hint="default" w:ascii="Times New Roman" w:hAnsi="Times New Roman" w:cs="Times New Roman"/>
                <w:i/>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Shanghai： Shanghai Foreign Language Education Press.</w:t>
            </w:r>
            <w:r>
              <w:rPr>
                <w:rFonts w:hint="default" w:ascii="Times New Roman" w:hAnsi="Times New Roman" w:cs="Times New Roman"/>
                <w:i/>
                <w:color w:val="000000"/>
                <w:spacing w:val="0"/>
                <w:w w:val="100"/>
                <w:sz w:val="18"/>
                <w:szCs w:val="18"/>
                <w:lang w:eastAsia="zh-CN"/>
              </w:rPr>
              <w:t>）</w:t>
            </w:r>
          </w:p>
        </w:tc>
        <w:tc>
          <w:tcPr>
            <w:tcW w:w="151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spacing w:val="0"/>
                <w:w w:val="100"/>
                <w:sz w:val="18"/>
                <w:szCs w:val="18"/>
              </w:rPr>
              <w:t>Nida</w:t>
            </w:r>
            <w:r>
              <w:rPr>
                <w:rFonts w:hint="eastAsia"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E. A.</w:t>
            </w:r>
          </w:p>
        </w:tc>
        <w:tc>
          <w:tcPr>
            <w:tcW w:w="960" w:type="dxa"/>
            <w:noWrap w:val="0"/>
            <w:vAlign w:val="center"/>
          </w:tcPr>
          <w:p>
            <w:pPr>
              <w:keepNext w:val="0"/>
              <w:keepLines w:val="0"/>
              <w:pageBreakBefore w:val="0"/>
              <w:kinsoku/>
              <w:wordWrap/>
              <w:overflowPunct/>
              <w:topLinePunct w:val="0"/>
              <w:bidi w:val="0"/>
              <w:spacing w:line="260" w:lineRule="exact"/>
              <w:ind w:left="0" w:leftChars="0" w:right="0" w:rightChars="0"/>
              <w:jc w:val="center"/>
              <w:textAlignment w:val="auto"/>
              <w:rPr>
                <w:rFonts w:hint="default" w:ascii="Times New Roman" w:hAnsi="Times New Roman" w:eastAsia="宋体" w:cs="Times New Roman"/>
                <w:kern w:val="0"/>
                <w:sz w:val="18"/>
                <w:szCs w:val="18"/>
              </w:rPr>
            </w:pPr>
            <w:r>
              <w:rPr>
                <w:rFonts w:hint="default" w:ascii="Times New Roman" w:hAnsi="Times New Roman" w:cs="Times New Roman"/>
                <w:kern w:val="0"/>
                <w:sz w:val="18"/>
                <w:szCs w:val="18"/>
                <w:lang w:val="en-US" w:eastAsia="zh-CN"/>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5</w:t>
            </w:r>
          </w:p>
        </w:tc>
        <w:tc>
          <w:tcPr>
            <w:tcW w:w="5388" w:type="dxa"/>
            <w:noWrap w:val="0"/>
            <w:vAlign w:val="center"/>
          </w:tcPr>
          <w:p>
            <w:pPr>
              <w:pStyle w:val="15"/>
              <w:keepNext w:val="0"/>
              <w:keepLines w:val="0"/>
              <w:pageBreakBefore w:val="0"/>
              <w:widowControl w:val="0"/>
              <w:tabs>
                <w:tab w:val="left" w:pos="1751"/>
              </w:tabs>
              <w:kinsoku/>
              <w:wordWrap/>
              <w:overflowPunct/>
              <w:topLinePunct w:val="0"/>
              <w:autoSpaceDE w:val="0"/>
              <w:autoSpaceDN w:val="0"/>
              <w:bidi w:val="0"/>
              <w:adjustRightInd/>
              <w:snapToGrid/>
              <w:spacing w:line="260" w:lineRule="exact"/>
              <w:ind w:left="0" w:leftChars="0" w:right="0" w:rightChars="0"/>
              <w:jc w:val="left"/>
              <w:textAlignment w:val="auto"/>
              <w:rPr>
                <w:rFonts w:hint="default" w:ascii="Times New Roman" w:hAnsi="Times New Roman" w:eastAsia="宋体" w:cs="Times New Roman"/>
                <w:color w:val="000000"/>
                <w:spacing w:val="0"/>
                <w:w w:val="100"/>
                <w:sz w:val="18"/>
                <w:szCs w:val="18"/>
                <w:lang w:eastAsia="zh-CN"/>
              </w:rPr>
            </w:pPr>
            <w:r>
              <w:rPr>
                <w:rFonts w:hint="default" w:ascii="Times New Roman" w:hAnsi="Times New Roman" w:eastAsia="宋体" w:cs="Times New Roman"/>
                <w:i/>
                <w:color w:val="000000"/>
                <w:spacing w:val="0"/>
                <w:w w:val="100"/>
                <w:sz w:val="18"/>
                <w:szCs w:val="18"/>
              </w:rPr>
              <w:t>Literary Theory： An Introduction</w:t>
            </w:r>
            <w:r>
              <w:rPr>
                <w:rFonts w:hint="default" w:ascii="Times New Roman" w:hAnsi="Times New Roman" w:cs="Times New Roman"/>
                <w:i/>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Minneapolis</w:t>
            </w:r>
            <w:r>
              <w:rPr>
                <w:rFonts w:hint="default" w:ascii="Times New Roman" w:hAnsi="Times New Roman" w:cs="Times New Roman"/>
                <w:color w:val="000000"/>
                <w:spacing w:val="0"/>
                <w:w w:val="100"/>
                <w:sz w:val="18"/>
                <w:szCs w:val="18"/>
                <w:lang w:eastAsia="zh-CN"/>
              </w:rPr>
              <w:t>：</w:t>
            </w:r>
          </w:p>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color w:val="000000"/>
                <w:spacing w:val="0"/>
                <w:w w:val="100"/>
                <w:sz w:val="18"/>
                <w:szCs w:val="18"/>
              </w:rPr>
              <w:t>University</w:t>
            </w:r>
            <w:r>
              <w:rPr>
                <w:rFonts w:hint="default" w:ascii="Times New Roman" w:hAnsi="Times New Roman" w:cs="Times New Roman"/>
                <w:color w:val="000000"/>
                <w:spacing w:val="0"/>
                <w:w w:val="100"/>
                <w:sz w:val="18"/>
                <w:szCs w:val="18"/>
                <w:lang w:val="en-US" w:eastAsia="zh-CN"/>
              </w:rPr>
              <w:t xml:space="preserve"> </w:t>
            </w:r>
            <w:r>
              <w:rPr>
                <w:rFonts w:hint="default" w:ascii="Times New Roman" w:hAnsi="Times New Roman" w:eastAsia="宋体" w:cs="Times New Roman"/>
                <w:color w:val="000000"/>
                <w:spacing w:val="0"/>
                <w:w w:val="100"/>
                <w:sz w:val="18"/>
                <w:szCs w:val="18"/>
              </w:rPr>
              <w:t>of Minnesota Press.</w:t>
            </w:r>
            <w:r>
              <w:rPr>
                <w:rFonts w:hint="default" w:ascii="Times New Roman" w:hAnsi="Times New Roman" w:cs="Times New Roman"/>
                <w:i/>
                <w:color w:val="000000"/>
                <w:spacing w:val="0"/>
                <w:w w:val="100"/>
                <w:sz w:val="18"/>
                <w:szCs w:val="18"/>
                <w:lang w:eastAsia="zh-CN"/>
              </w:rPr>
              <w:t>）</w:t>
            </w:r>
          </w:p>
        </w:tc>
        <w:tc>
          <w:tcPr>
            <w:tcW w:w="1512" w:type="dxa"/>
            <w:noWrap w:val="0"/>
            <w:vAlign w:val="center"/>
          </w:tcPr>
          <w:p>
            <w:pPr>
              <w:pStyle w:val="15"/>
              <w:keepNext w:val="0"/>
              <w:keepLines w:val="0"/>
              <w:pageBreakBefore w:val="0"/>
              <w:widowControl w:val="0"/>
              <w:tabs>
                <w:tab w:val="left" w:pos="1742"/>
              </w:tabs>
              <w:kinsoku/>
              <w:wordWrap/>
              <w:overflowPunct/>
              <w:topLinePunct w:val="0"/>
              <w:autoSpaceDE w:val="0"/>
              <w:autoSpaceDN w:val="0"/>
              <w:bidi w:val="0"/>
              <w:adjustRightInd/>
              <w:snapToGrid/>
              <w:spacing w:line="260" w:lineRule="exact"/>
              <w:ind w:left="0" w:leftChars="0" w:right="0" w:rightChars="0"/>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spacing w:val="0"/>
                <w:w w:val="100"/>
                <w:sz w:val="18"/>
                <w:szCs w:val="18"/>
              </w:rPr>
              <w:t>Eagleton</w:t>
            </w:r>
            <w:r>
              <w:rPr>
                <w:rFonts w:hint="eastAsia"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T.</w:t>
            </w:r>
          </w:p>
        </w:tc>
        <w:tc>
          <w:tcPr>
            <w:tcW w:w="960" w:type="dxa"/>
            <w:noWrap w:val="0"/>
            <w:vAlign w:val="center"/>
          </w:tcPr>
          <w:p>
            <w:pPr>
              <w:keepNext w:val="0"/>
              <w:keepLines w:val="0"/>
              <w:pageBreakBefore w:val="0"/>
              <w:kinsoku/>
              <w:wordWrap/>
              <w:overflowPunct/>
              <w:topLinePunct w:val="0"/>
              <w:bidi w:val="0"/>
              <w:spacing w:line="260" w:lineRule="exact"/>
              <w:ind w:left="0" w:leftChars="0" w:right="0" w:rightChars="0"/>
              <w:jc w:val="center"/>
              <w:textAlignment w:val="auto"/>
              <w:rPr>
                <w:rFonts w:hint="default" w:ascii="Times New Roman" w:hAnsi="Times New Roman" w:eastAsia="宋体" w:cs="Times New Roman"/>
                <w:kern w:val="0"/>
                <w:sz w:val="18"/>
                <w:szCs w:val="18"/>
              </w:rPr>
            </w:pPr>
            <w:r>
              <w:rPr>
                <w:rFonts w:hint="default" w:ascii="Times New Roman" w:hAnsi="Times New Roman" w:cs="Times New Roman"/>
                <w:kern w:val="0"/>
                <w:sz w:val="18"/>
                <w:szCs w:val="18"/>
                <w:lang w:val="en-US" w:eastAsia="zh-CN"/>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6</w:t>
            </w:r>
          </w:p>
        </w:tc>
        <w:tc>
          <w:tcPr>
            <w:tcW w:w="5388"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color w:val="000000"/>
                <w:spacing w:val="0"/>
                <w:w w:val="100"/>
                <w:sz w:val="18"/>
                <w:szCs w:val="18"/>
              </w:rPr>
              <w:t>语言学理论与流派</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南京</w:t>
            </w:r>
            <w:r>
              <w:rPr>
                <w:rFonts w:hint="eastAsia" w:ascii="Times New Roman" w:hAnsi="Times New Roman" w:cs="Times New Roman"/>
                <w:color w:val="000000"/>
                <w:spacing w:val="0"/>
                <w:w w:val="100"/>
                <w:sz w:val="18"/>
                <w:szCs w:val="18"/>
                <w:lang w:val="en-US" w:eastAsia="zh-CN"/>
              </w:rPr>
              <w:t>：</w:t>
            </w:r>
            <w:r>
              <w:rPr>
                <w:rFonts w:hint="default" w:ascii="Times New Roman" w:hAnsi="Times New Roman" w:eastAsia="宋体" w:cs="Times New Roman"/>
                <w:color w:val="000000"/>
                <w:spacing w:val="0"/>
                <w:w w:val="100"/>
                <w:sz w:val="18"/>
                <w:szCs w:val="18"/>
              </w:rPr>
              <w:t>南京师范大学出版社</w:t>
            </w:r>
            <w:r>
              <w:rPr>
                <w:rFonts w:hint="default" w:ascii="Times New Roman" w:hAnsi="Times New Roman" w:cs="Times New Roman"/>
                <w:color w:val="000000"/>
                <w:spacing w:val="0"/>
                <w:w w:val="100"/>
                <w:sz w:val="18"/>
                <w:szCs w:val="18"/>
                <w:lang w:eastAsia="zh-CN"/>
              </w:rPr>
              <w:t>）</w:t>
            </w:r>
          </w:p>
        </w:tc>
        <w:tc>
          <w:tcPr>
            <w:tcW w:w="151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spacing w:val="0"/>
                <w:w w:val="100"/>
                <w:sz w:val="18"/>
                <w:szCs w:val="18"/>
              </w:rPr>
              <w:t>刘润清，封宗信</w:t>
            </w:r>
          </w:p>
        </w:tc>
        <w:tc>
          <w:tcPr>
            <w:tcW w:w="960" w:type="dxa"/>
            <w:noWrap w:val="0"/>
            <w:vAlign w:val="center"/>
          </w:tcPr>
          <w:p>
            <w:pPr>
              <w:keepNext w:val="0"/>
              <w:keepLines w:val="0"/>
              <w:pageBreakBefore w:val="0"/>
              <w:kinsoku/>
              <w:wordWrap/>
              <w:overflowPunct/>
              <w:topLinePunct w:val="0"/>
              <w:bidi w:val="0"/>
              <w:spacing w:line="260" w:lineRule="exact"/>
              <w:ind w:left="0" w:leftChars="0" w:right="0" w:rightChars="0"/>
              <w:jc w:val="center"/>
              <w:textAlignment w:val="auto"/>
              <w:rPr>
                <w:rFonts w:hint="default" w:ascii="Times New Roman" w:hAnsi="Times New Roman" w:eastAsia="宋体" w:cs="Times New Roman"/>
                <w:kern w:val="0"/>
                <w:sz w:val="18"/>
                <w:szCs w:val="18"/>
              </w:rPr>
            </w:pPr>
            <w:r>
              <w:rPr>
                <w:rFonts w:hint="default" w:ascii="Times New Roman" w:hAnsi="Times New Roman" w:cs="Times New Roman"/>
                <w:kern w:val="0"/>
                <w:sz w:val="18"/>
                <w:szCs w:val="18"/>
                <w:lang w:val="en-US" w:eastAsia="zh-CN"/>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lang w:val="en-US" w:eastAsia="zh-CN"/>
              </w:rPr>
              <w:t>7</w:t>
            </w:r>
          </w:p>
        </w:tc>
        <w:tc>
          <w:tcPr>
            <w:tcW w:w="5388"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color w:val="000000"/>
                <w:spacing w:val="0"/>
                <w:w w:val="100"/>
                <w:sz w:val="18"/>
                <w:szCs w:val="18"/>
              </w:rPr>
              <w:t>应用语言学研究方法与论文写作</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北京：外语教学与研究出版社.</w:t>
            </w:r>
            <w:r>
              <w:rPr>
                <w:rFonts w:hint="default" w:ascii="Times New Roman" w:hAnsi="Times New Roman" w:cs="Times New Roman"/>
                <w:color w:val="000000"/>
                <w:spacing w:val="0"/>
                <w:w w:val="100"/>
                <w:sz w:val="18"/>
                <w:szCs w:val="18"/>
                <w:lang w:eastAsia="zh-CN"/>
              </w:rPr>
              <w:t>）</w:t>
            </w:r>
          </w:p>
        </w:tc>
        <w:tc>
          <w:tcPr>
            <w:tcW w:w="151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spacing w:val="0"/>
                <w:w w:val="100"/>
                <w:sz w:val="18"/>
                <w:szCs w:val="18"/>
              </w:rPr>
              <w:t>文秋芳.</w:t>
            </w:r>
          </w:p>
        </w:tc>
        <w:tc>
          <w:tcPr>
            <w:tcW w:w="960" w:type="dxa"/>
            <w:noWrap w:val="0"/>
            <w:vAlign w:val="center"/>
          </w:tcPr>
          <w:p>
            <w:pPr>
              <w:keepNext w:val="0"/>
              <w:keepLines w:val="0"/>
              <w:pageBreakBefore w:val="0"/>
              <w:kinsoku/>
              <w:wordWrap/>
              <w:overflowPunct/>
              <w:topLinePunct w:val="0"/>
              <w:bidi w:val="0"/>
              <w:spacing w:line="260" w:lineRule="exact"/>
              <w:ind w:left="0" w:leftChars="0" w:right="0" w:rightChars="0"/>
              <w:jc w:val="center"/>
              <w:textAlignment w:val="auto"/>
              <w:rPr>
                <w:rFonts w:hint="default" w:ascii="Times New Roman" w:hAnsi="Times New Roman" w:eastAsia="宋体" w:cs="Times New Roman"/>
                <w:kern w:val="0"/>
                <w:sz w:val="18"/>
                <w:szCs w:val="18"/>
              </w:rPr>
            </w:pPr>
            <w:r>
              <w:rPr>
                <w:rFonts w:hint="default" w:ascii="Times New Roman" w:hAnsi="Times New Roman" w:cs="Times New Roman"/>
                <w:kern w:val="0"/>
                <w:sz w:val="18"/>
                <w:szCs w:val="18"/>
                <w:lang w:val="en-US" w:eastAsia="zh-CN"/>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lang w:val="en-US" w:eastAsia="zh-CN"/>
              </w:rPr>
              <w:t>8</w:t>
            </w:r>
          </w:p>
        </w:tc>
        <w:tc>
          <w:tcPr>
            <w:tcW w:w="5388"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color w:val="000000"/>
                <w:spacing w:val="0"/>
                <w:w w:val="100"/>
                <w:sz w:val="18"/>
                <w:szCs w:val="18"/>
              </w:rPr>
              <w:t>英汉语比较纲要</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北京：北京语言大学出版社.</w:t>
            </w:r>
            <w:r>
              <w:rPr>
                <w:rFonts w:hint="default" w:ascii="Times New Roman" w:hAnsi="Times New Roman" w:cs="Times New Roman"/>
                <w:color w:val="000000"/>
                <w:spacing w:val="0"/>
                <w:w w:val="100"/>
                <w:sz w:val="18"/>
                <w:szCs w:val="18"/>
                <w:lang w:eastAsia="zh-CN"/>
              </w:rPr>
              <w:t>）</w:t>
            </w:r>
          </w:p>
        </w:tc>
        <w:tc>
          <w:tcPr>
            <w:tcW w:w="151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spacing w:val="0"/>
                <w:w w:val="100"/>
                <w:sz w:val="18"/>
                <w:szCs w:val="18"/>
              </w:rPr>
              <w:t>潘文国</w:t>
            </w:r>
          </w:p>
        </w:tc>
        <w:tc>
          <w:tcPr>
            <w:tcW w:w="960" w:type="dxa"/>
            <w:noWrap w:val="0"/>
            <w:vAlign w:val="center"/>
          </w:tcPr>
          <w:p>
            <w:pPr>
              <w:keepNext w:val="0"/>
              <w:keepLines w:val="0"/>
              <w:pageBreakBefore w:val="0"/>
              <w:kinsoku/>
              <w:wordWrap/>
              <w:overflowPunct/>
              <w:topLinePunct w:val="0"/>
              <w:bidi w:val="0"/>
              <w:spacing w:line="260" w:lineRule="exact"/>
              <w:ind w:left="0" w:leftChars="0" w:right="0" w:rightChars="0"/>
              <w:jc w:val="center"/>
              <w:textAlignment w:val="auto"/>
              <w:rPr>
                <w:rFonts w:hint="default" w:ascii="Times New Roman" w:hAnsi="Times New Roman" w:eastAsia="宋体" w:cs="Times New Roman"/>
                <w:kern w:val="0"/>
                <w:sz w:val="18"/>
                <w:szCs w:val="18"/>
              </w:rPr>
            </w:pPr>
            <w:r>
              <w:rPr>
                <w:rFonts w:hint="default" w:ascii="Times New Roman" w:hAnsi="Times New Roman" w:cs="Times New Roman"/>
                <w:kern w:val="0"/>
                <w:sz w:val="18"/>
                <w:szCs w:val="18"/>
                <w:lang w:val="en-US" w:eastAsia="zh-CN"/>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lang w:val="en-US" w:eastAsia="zh-CN"/>
              </w:rPr>
              <w:t>9</w:t>
            </w:r>
          </w:p>
        </w:tc>
        <w:tc>
          <w:tcPr>
            <w:tcW w:w="5388"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color w:val="000000"/>
                <w:spacing w:val="0"/>
                <w:w w:val="100"/>
                <w:sz w:val="18"/>
                <w:szCs w:val="18"/>
              </w:rPr>
              <w:fldChar w:fldCharType="begin"/>
            </w:r>
            <w:r>
              <w:rPr>
                <w:rFonts w:hint="default" w:ascii="Times New Roman" w:hAnsi="Times New Roman" w:eastAsia="宋体" w:cs="Times New Roman"/>
                <w:color w:val="000000"/>
                <w:spacing w:val="0"/>
                <w:w w:val="100"/>
                <w:sz w:val="18"/>
                <w:szCs w:val="18"/>
              </w:rPr>
              <w:instrText xml:space="preserve"> HYPERLINK "http://cpro.baidu.com/cpro/ui/uijs.php?app_id=0&amp;amp;c=news&amp;amp;cf=1001&amp;amp;ch=0&amp;amp;di=128&amp;amp;fv=11&amp;amp;is_app=0&amp;amp;jk=c8792a65c207e96f&amp;amp;k=%B7%AD%D2%EB&amp;amp;k0=%B7%AD%D2%EB&amp;amp;kdi0=0&amp;amp;luki=10&amp;amp;n=10&amp;amp;p=baidu&amp;amp;q=00009009_cpr&amp;amp;rb=0&amp;amp;rs=1&amp;amp;seller_id=1&amp;amp;sid=6fe907c2652a79c8&amp;amp;ssp2=1&amp;amp;stid=0&amp;amp;t=tpclicked3_hc&amp;amp;tu=u1698901&amp;amp;u=http%3A%2F%2F3y%2Euu456%2Ecom%2Fbp%5F47hoo61v5477t6k14clx%5F1%2Ehtml&amp;amp;urlid=0" \h </w:instrText>
            </w:r>
            <w:r>
              <w:rPr>
                <w:rFonts w:hint="default" w:ascii="Times New Roman" w:hAnsi="Times New Roman" w:eastAsia="宋体" w:cs="Times New Roman"/>
                <w:color w:val="000000"/>
                <w:spacing w:val="0"/>
                <w:w w:val="100"/>
                <w:sz w:val="18"/>
                <w:szCs w:val="18"/>
              </w:rPr>
              <w:fldChar w:fldCharType="separate"/>
            </w:r>
            <w:r>
              <w:rPr>
                <w:rFonts w:hint="default" w:ascii="Times New Roman" w:hAnsi="Times New Roman" w:eastAsia="宋体" w:cs="Times New Roman"/>
                <w:color w:val="000000"/>
                <w:spacing w:val="0"/>
                <w:w w:val="100"/>
                <w:sz w:val="18"/>
                <w:szCs w:val="18"/>
              </w:rPr>
              <w:t>西方翻译</w:t>
            </w:r>
            <w:r>
              <w:rPr>
                <w:rFonts w:hint="default" w:ascii="Times New Roman" w:hAnsi="Times New Roman" w:eastAsia="宋体" w:cs="Times New Roman"/>
                <w:color w:val="000000"/>
                <w:spacing w:val="0"/>
                <w:w w:val="100"/>
                <w:sz w:val="18"/>
                <w:szCs w:val="18"/>
              </w:rPr>
              <w:fldChar w:fldCharType="end"/>
            </w:r>
            <w:r>
              <w:rPr>
                <w:rFonts w:hint="default" w:ascii="Times New Roman" w:hAnsi="Times New Roman" w:eastAsia="宋体" w:cs="Times New Roman"/>
                <w:color w:val="000000"/>
                <w:spacing w:val="0"/>
                <w:w w:val="100"/>
                <w:sz w:val="18"/>
                <w:szCs w:val="18"/>
              </w:rPr>
              <w:t>理论精选</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北京：外语教学与研究出版社</w:t>
            </w:r>
            <w:r>
              <w:rPr>
                <w:rFonts w:hint="default" w:ascii="Times New Roman" w:hAnsi="Times New Roman" w:cs="Times New Roman"/>
                <w:color w:val="000000"/>
                <w:spacing w:val="0"/>
                <w:w w:val="100"/>
                <w:sz w:val="18"/>
                <w:szCs w:val="18"/>
                <w:lang w:eastAsia="zh-CN"/>
              </w:rPr>
              <w:t>）</w:t>
            </w:r>
          </w:p>
        </w:tc>
        <w:tc>
          <w:tcPr>
            <w:tcW w:w="151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spacing w:val="0"/>
                <w:w w:val="100"/>
                <w:sz w:val="18"/>
                <w:szCs w:val="18"/>
              </w:rPr>
              <w:t>申雨平.</w:t>
            </w:r>
          </w:p>
        </w:tc>
        <w:tc>
          <w:tcPr>
            <w:tcW w:w="960" w:type="dxa"/>
            <w:noWrap w:val="0"/>
            <w:vAlign w:val="center"/>
          </w:tcPr>
          <w:p>
            <w:pPr>
              <w:keepNext w:val="0"/>
              <w:keepLines w:val="0"/>
              <w:pageBreakBefore w:val="0"/>
              <w:kinsoku/>
              <w:wordWrap/>
              <w:overflowPunct/>
              <w:topLinePunct w:val="0"/>
              <w:bidi w:val="0"/>
              <w:spacing w:line="260" w:lineRule="exact"/>
              <w:ind w:left="0" w:leftChars="0" w:right="0" w:rightChars="0"/>
              <w:jc w:val="center"/>
              <w:textAlignment w:val="auto"/>
              <w:rPr>
                <w:rFonts w:hint="default" w:ascii="Times New Roman" w:hAnsi="Times New Roman" w:eastAsia="宋体" w:cs="Times New Roman"/>
                <w:kern w:val="0"/>
                <w:sz w:val="18"/>
                <w:szCs w:val="18"/>
              </w:rPr>
            </w:pPr>
            <w:r>
              <w:rPr>
                <w:rFonts w:hint="default" w:ascii="Times New Roman" w:hAnsi="Times New Roman" w:cs="Times New Roman"/>
                <w:kern w:val="0"/>
                <w:sz w:val="18"/>
                <w:szCs w:val="18"/>
                <w:lang w:val="en-US" w:eastAsia="zh-CN"/>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lang w:val="en-US" w:eastAsia="zh-CN"/>
              </w:rPr>
              <w:t>10</w:t>
            </w:r>
          </w:p>
        </w:tc>
        <w:tc>
          <w:tcPr>
            <w:tcW w:w="5388"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color w:val="000000"/>
                <w:spacing w:val="0"/>
                <w:w w:val="100"/>
                <w:sz w:val="18"/>
                <w:szCs w:val="18"/>
              </w:rPr>
              <w:t>文学原理新释</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北京：人民文学出版社.</w:t>
            </w:r>
            <w:r>
              <w:rPr>
                <w:rFonts w:hint="default" w:ascii="Times New Roman" w:hAnsi="Times New Roman" w:cs="Times New Roman"/>
                <w:color w:val="000000"/>
                <w:spacing w:val="0"/>
                <w:w w:val="100"/>
                <w:sz w:val="18"/>
                <w:szCs w:val="18"/>
                <w:lang w:eastAsia="zh-CN"/>
              </w:rPr>
              <w:t>）</w:t>
            </w:r>
          </w:p>
        </w:tc>
        <w:tc>
          <w:tcPr>
            <w:tcW w:w="151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color w:val="000000"/>
                <w:spacing w:val="0"/>
                <w:w w:val="100"/>
                <w:sz w:val="18"/>
                <w:szCs w:val="18"/>
              </w:rPr>
              <w:t>顾祖钊</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宋体" w:cs="Times New Roman"/>
                <w:kern w:val="0"/>
                <w:sz w:val="18"/>
                <w:szCs w:val="18"/>
              </w:rPr>
            </w:pPr>
            <w:r>
              <w:rPr>
                <w:rFonts w:hint="default" w:ascii="Times New Roman" w:hAnsi="Times New Roman" w:cs="Times New Roman"/>
                <w:kern w:val="0"/>
                <w:sz w:val="18"/>
                <w:szCs w:val="18"/>
                <w:lang w:val="en-US" w:eastAsia="zh-CN"/>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lang w:val="en-US" w:eastAsia="zh-CN"/>
              </w:rPr>
              <w:t>11</w:t>
            </w:r>
          </w:p>
        </w:tc>
        <w:tc>
          <w:tcPr>
            <w:tcW w:w="5388"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color w:val="000000"/>
                <w:spacing w:val="0"/>
                <w:w w:val="100"/>
                <w:sz w:val="18"/>
                <w:szCs w:val="18"/>
              </w:rPr>
              <w:t>当代西方文艺理论</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上海</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华东师范大学出版社.</w:t>
            </w:r>
            <w:r>
              <w:rPr>
                <w:rFonts w:hint="default" w:ascii="Times New Roman" w:hAnsi="Times New Roman" w:cs="Times New Roman"/>
                <w:color w:val="000000"/>
                <w:spacing w:val="0"/>
                <w:w w:val="100"/>
                <w:sz w:val="18"/>
                <w:szCs w:val="18"/>
                <w:lang w:eastAsia="zh-CN"/>
              </w:rPr>
              <w:t>）</w:t>
            </w:r>
          </w:p>
        </w:tc>
        <w:tc>
          <w:tcPr>
            <w:tcW w:w="151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color w:val="000000"/>
                <w:spacing w:val="0"/>
                <w:w w:val="100"/>
                <w:sz w:val="18"/>
                <w:szCs w:val="18"/>
              </w:rPr>
              <w:t>朱立元（主编）</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宋体" w:cs="Times New Roman"/>
                <w:kern w:val="0"/>
                <w:sz w:val="18"/>
                <w:szCs w:val="18"/>
              </w:rPr>
            </w:pPr>
            <w:r>
              <w:rPr>
                <w:rFonts w:hint="default" w:ascii="Times New Roman" w:hAnsi="Times New Roman" w:cs="Times New Roman"/>
                <w:kern w:val="0"/>
                <w:sz w:val="18"/>
                <w:szCs w:val="18"/>
                <w:lang w:val="en-US" w:eastAsia="zh-CN"/>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lang w:val="en-US" w:eastAsia="zh-CN"/>
              </w:rPr>
              <w:t>12</w:t>
            </w:r>
          </w:p>
        </w:tc>
        <w:tc>
          <w:tcPr>
            <w:tcW w:w="5388"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color w:val="000000"/>
                <w:spacing w:val="0"/>
                <w:w w:val="100"/>
                <w:sz w:val="18"/>
                <w:szCs w:val="18"/>
              </w:rPr>
              <w:t>当代国外语言学与应用语言学文库</w:t>
            </w:r>
          </w:p>
        </w:tc>
        <w:tc>
          <w:tcPr>
            <w:tcW w:w="151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color w:val="000000"/>
                <w:spacing w:val="0"/>
                <w:w w:val="100"/>
                <w:sz w:val="18"/>
                <w:szCs w:val="18"/>
              </w:rPr>
              <w:t>外语教学与研究出版社</w:t>
            </w:r>
          </w:p>
        </w:tc>
        <w:tc>
          <w:tcPr>
            <w:tcW w:w="96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lang w:val="en-US" w:eastAsia="zh-CN"/>
              </w:rPr>
              <w:t>13</w:t>
            </w:r>
          </w:p>
        </w:tc>
        <w:tc>
          <w:tcPr>
            <w:tcW w:w="5388"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color w:val="000000"/>
                <w:spacing w:val="0"/>
                <w:w w:val="100"/>
                <w:sz w:val="18"/>
                <w:szCs w:val="18"/>
              </w:rPr>
              <w:t>现代语言学丛书</w:t>
            </w:r>
          </w:p>
        </w:tc>
        <w:tc>
          <w:tcPr>
            <w:tcW w:w="151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color w:val="000000"/>
                <w:spacing w:val="0"/>
                <w:w w:val="100"/>
                <w:sz w:val="18"/>
                <w:szCs w:val="18"/>
              </w:rPr>
              <w:t>上海外语教育出版社</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宋体" w:cs="Times New Roman"/>
                <w:kern w:val="0"/>
                <w:sz w:val="18"/>
                <w:szCs w:val="18"/>
              </w:rPr>
            </w:pPr>
            <w:r>
              <w:rPr>
                <w:rFonts w:hint="default" w:ascii="Times New Roman" w:hAnsi="Times New Roman" w:cs="Times New Roman"/>
                <w:kern w:val="0"/>
                <w:sz w:val="18"/>
                <w:szCs w:val="18"/>
                <w:lang w:val="en-US" w:eastAsia="zh-CN"/>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keepNext w:val="0"/>
              <w:keepLines w:val="0"/>
              <w:pageBreakBefore w:val="0"/>
              <w:widowControl/>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lang w:val="en-US" w:eastAsia="zh-CN"/>
              </w:rPr>
              <w:t>14</w:t>
            </w:r>
          </w:p>
        </w:tc>
        <w:tc>
          <w:tcPr>
            <w:tcW w:w="5388"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both"/>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color w:val="000000"/>
                <w:spacing w:val="0"/>
                <w:w w:val="100"/>
                <w:sz w:val="18"/>
                <w:szCs w:val="18"/>
              </w:rPr>
              <w:t>国外翻译研究丛书</w:t>
            </w:r>
          </w:p>
        </w:tc>
        <w:tc>
          <w:tcPr>
            <w:tcW w:w="151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color w:val="000000"/>
                <w:spacing w:val="0"/>
                <w:w w:val="100"/>
                <w:sz w:val="18"/>
                <w:szCs w:val="18"/>
              </w:rPr>
              <w:t>上海外语教育出版社</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宋体" w:cs="Times New Roman"/>
                <w:kern w:val="0"/>
                <w:sz w:val="18"/>
                <w:szCs w:val="18"/>
              </w:rPr>
            </w:pPr>
            <w:r>
              <w:rPr>
                <w:rFonts w:hint="default" w:ascii="Times New Roman" w:hAnsi="Times New Roman" w:cs="Times New Roman"/>
                <w:kern w:val="0"/>
                <w:sz w:val="18"/>
                <w:szCs w:val="18"/>
                <w:lang w:val="en-US" w:eastAsia="zh-CN"/>
              </w:rPr>
              <w:t>选读</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leftChars="20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5.导师指导（含立德树人、导师培训等）</w:t>
      </w:r>
    </w:p>
    <w:p>
      <w:pPr>
        <w:pStyle w:val="2"/>
        <w:rPr>
          <w:rFonts w:hint="eastAsia" w:ascii="Times New Roman" w:hAnsi="Times New Roman" w:eastAsia="宋体" w:cs="宋体"/>
          <w:sz w:val="28"/>
          <w:szCs w:val="28"/>
        </w:rPr>
      </w:pPr>
      <w:r>
        <w:rPr>
          <w:rFonts w:hint="eastAsia" w:ascii="Times New Roman" w:hAnsi="Times New Roman" w:eastAsia="宋体" w:cs="宋体"/>
          <w:sz w:val="28"/>
          <w:szCs w:val="28"/>
        </w:rPr>
        <w:t>本学科点坚持以立德树人为根本，把加强教师的思想道德建设和职业道德建设放在首位，致力于打造一支政治素质过硬、业务能力精湛、育人水平高超的高素质教师队伍</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rPr>
        <w:t>加强对</w:t>
      </w:r>
      <w:r>
        <w:rPr>
          <w:rFonts w:hint="eastAsia" w:ascii="Times New Roman" w:hAnsi="Times New Roman" w:eastAsia="宋体" w:cs="宋体"/>
          <w:sz w:val="28"/>
          <w:szCs w:val="28"/>
          <w:lang w:eastAsia="zh-CN"/>
        </w:rPr>
        <w:t>学术型</w:t>
      </w:r>
      <w:r>
        <w:rPr>
          <w:rFonts w:hint="eastAsia" w:ascii="Times New Roman" w:hAnsi="Times New Roman" w:eastAsia="宋体" w:cs="宋体"/>
          <w:sz w:val="28"/>
          <w:szCs w:val="28"/>
        </w:rPr>
        <w:t>硕士研究生思想政治素质、学术道德规范、社会责任感</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lang w:val="en-US" w:eastAsia="zh-CN"/>
        </w:rPr>
        <w:t>耕读文化</w:t>
      </w:r>
      <w:r>
        <w:rPr>
          <w:rFonts w:hint="eastAsia" w:ascii="Times New Roman" w:hAnsi="Times New Roman" w:eastAsia="宋体" w:cs="宋体"/>
          <w:sz w:val="28"/>
          <w:szCs w:val="28"/>
        </w:rPr>
        <w:t>等方面的教育，注重对硕士研究生的人文关怀，着力培养学生分析问题和解决问题的能力，提升</w:t>
      </w:r>
      <w:r>
        <w:rPr>
          <w:rFonts w:hint="eastAsia" w:ascii="Times New Roman" w:hAnsi="Times New Roman" w:eastAsia="宋体" w:cs="宋体"/>
          <w:sz w:val="28"/>
          <w:szCs w:val="28"/>
          <w:lang w:eastAsia="zh-CN"/>
        </w:rPr>
        <w:t>学术型</w:t>
      </w:r>
      <w:r>
        <w:rPr>
          <w:rFonts w:hint="eastAsia" w:ascii="Times New Roman" w:hAnsi="Times New Roman" w:eastAsia="宋体" w:cs="宋体"/>
          <w:sz w:val="28"/>
          <w:szCs w:val="28"/>
        </w:rPr>
        <w:t>硕士研究生培养质量</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rPr>
        <w:t>实施了以下机制与做法。</w:t>
      </w:r>
    </w:p>
    <w:p>
      <w:pPr>
        <w:pStyle w:val="2"/>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教育责任意识强化机制</w:t>
      </w:r>
    </w:p>
    <w:p>
      <w:pPr>
        <w:pStyle w:val="2"/>
        <w:rPr>
          <w:rFonts w:hint="eastAsia" w:ascii="Times New Roman" w:hAnsi="Times New Roman" w:eastAsia="宋体" w:cs="宋体"/>
          <w:sz w:val="28"/>
          <w:szCs w:val="28"/>
        </w:rPr>
      </w:pPr>
      <w:r>
        <w:rPr>
          <w:rFonts w:hint="eastAsia" w:ascii="Times New Roman" w:hAnsi="Times New Roman" w:eastAsia="宋体" w:cs="宋体"/>
          <w:sz w:val="28"/>
          <w:szCs w:val="28"/>
          <w:lang w:val="en-US" w:eastAsia="zh-CN"/>
        </w:rPr>
        <w:t>在</w:t>
      </w:r>
      <w:r>
        <w:rPr>
          <w:rFonts w:hint="eastAsia" w:ascii="Times New Roman" w:hAnsi="Times New Roman" w:eastAsia="宋体" w:cs="宋体"/>
          <w:sz w:val="28"/>
          <w:szCs w:val="28"/>
        </w:rPr>
        <w:t>针对师德师风建设制定系列文件</w:t>
      </w:r>
      <w:r>
        <w:rPr>
          <w:rFonts w:hint="eastAsia" w:ascii="Times New Roman" w:hAnsi="Times New Roman" w:eastAsia="宋体" w:cs="宋体"/>
          <w:sz w:val="28"/>
          <w:szCs w:val="28"/>
          <w:lang w:val="en-US" w:eastAsia="zh-CN"/>
        </w:rPr>
        <w:t>的基础上，积极学习和贯彻国家和学校的有关指示精神和要求</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lang w:val="en-US" w:eastAsia="zh-CN"/>
        </w:rPr>
        <w:t>认真落实</w:t>
      </w:r>
      <w:r>
        <w:rPr>
          <w:rFonts w:hint="eastAsia" w:ascii="Times New Roman" w:hAnsi="Times New Roman" w:eastAsia="宋体" w:cs="宋体"/>
          <w:sz w:val="28"/>
          <w:szCs w:val="28"/>
        </w:rPr>
        <w:t>《湖南农业大学全面落实研究生导师立德树人职责实施细则》、《湖南农业大学师德师风建设行动计划》、《湖南农业大学师德考核实施办法》、《湖南农业大学师德师风失范行为处理办法》等</w:t>
      </w:r>
      <w:r>
        <w:rPr>
          <w:rFonts w:hint="eastAsia" w:ascii="Times New Roman" w:hAnsi="Times New Roman" w:eastAsia="宋体" w:cs="宋体"/>
          <w:sz w:val="28"/>
          <w:szCs w:val="28"/>
          <w:lang w:val="en-US" w:eastAsia="zh-CN"/>
        </w:rPr>
        <w:t>文件要求</w:t>
      </w:r>
      <w:r>
        <w:rPr>
          <w:rFonts w:hint="eastAsia" w:ascii="Times New Roman" w:hAnsi="Times New Roman" w:eastAsia="宋体" w:cs="宋体"/>
          <w:sz w:val="28"/>
          <w:szCs w:val="28"/>
        </w:rPr>
        <w:t>，强化教师的育德意识与育人责任，并充分意识到教师的品格修养是进行教育的基石，教师不仅是知识的传播者、智慧的启迪者、人格的影响者，也是道德的实践者和示范者。学院设立的“学之道•师之道•研之道”所组成的“三道大讲堂”，形成了良好的重德风尚，在研究生培养过程中，坚持教书与育人相统一、言传与身教相统一、潜心问道与关注社会相统一、学术自由与学术规范相统一。</w:t>
      </w:r>
    </w:p>
    <w:p>
      <w:pPr>
        <w:pStyle w:val="2"/>
        <w:rPr>
          <w:rFonts w:hint="eastAsia" w:ascii="Times New Roman" w:hAnsi="Times New Roman" w:eastAsia="宋体" w:cs="宋体"/>
          <w:b/>
          <w:bCs/>
          <w:sz w:val="28"/>
          <w:szCs w:val="28"/>
        </w:rPr>
      </w:pPr>
      <w:r>
        <w:rPr>
          <w:rFonts w:hint="eastAsia" w:ascii="Times New Roman" w:hAnsi="Times New Roman" w:eastAsia="宋体" w:cs="宋体"/>
          <w:b/>
          <w:bCs/>
          <w:sz w:val="28"/>
          <w:szCs w:val="28"/>
          <w:lang w:eastAsia="zh-CN"/>
        </w:rPr>
        <w:t>（</w:t>
      </w:r>
      <w:r>
        <w:rPr>
          <w:rFonts w:hint="eastAsia" w:ascii="Times New Roman" w:hAnsi="Times New Roman" w:eastAsia="宋体" w:cs="宋体"/>
          <w:b/>
          <w:bCs/>
          <w:sz w:val="28"/>
          <w:szCs w:val="28"/>
          <w:lang w:val="en-US" w:eastAsia="zh-CN"/>
        </w:rPr>
        <w:t>2</w:t>
      </w:r>
      <w:r>
        <w:rPr>
          <w:rFonts w:hint="eastAsia" w:ascii="Times New Roman" w:hAnsi="Times New Roman" w:eastAsia="宋体" w:cs="宋体"/>
          <w:b/>
          <w:bCs/>
          <w:sz w:val="28"/>
          <w:szCs w:val="28"/>
          <w:lang w:eastAsia="zh-CN"/>
        </w:rPr>
        <w:t>）</w:t>
      </w:r>
      <w:r>
        <w:rPr>
          <w:rFonts w:hint="eastAsia" w:ascii="Times New Roman" w:hAnsi="Times New Roman" w:eastAsia="宋体" w:cs="宋体"/>
          <w:b/>
          <w:bCs/>
          <w:sz w:val="28"/>
          <w:szCs w:val="28"/>
        </w:rPr>
        <w:t>教研教学改革督促机制</w:t>
      </w:r>
    </w:p>
    <w:p>
      <w:pPr>
        <w:pStyle w:val="2"/>
        <w:rPr>
          <w:rFonts w:hint="eastAsia" w:ascii="Times New Roman" w:hAnsi="Times New Roman" w:eastAsia="宋体" w:cs="宋体"/>
          <w:sz w:val="28"/>
          <w:szCs w:val="28"/>
        </w:rPr>
      </w:pPr>
      <w:r>
        <w:rPr>
          <w:rFonts w:hint="eastAsia" w:ascii="Times New Roman" w:hAnsi="Times New Roman" w:eastAsia="宋体" w:cs="宋体"/>
          <w:sz w:val="28"/>
          <w:szCs w:val="28"/>
        </w:rPr>
        <w:t>为保证“立德树人”任务落地生根，学科点积极推进“课程思政”建设，调动任课教师这一对大学生思想、言行和成长影响最大的群体，参与课堂育人的积极性、主动性和创造性。通过每两周一次课程教学团队的教学研讨活动的开展，积极探索、深入挖掘各自讲授课程中所蕴含的育人元素，充分发挥课堂教学的主渠道作用，将知识传授和价值引领有机结合，从而将“德育”与“智育”有机融合在一起，培养学生成为德才兼备、全面发展的综合性人才。</w:t>
      </w:r>
    </w:p>
    <w:p>
      <w:pPr>
        <w:pStyle w:val="2"/>
        <w:rPr>
          <w:rFonts w:hint="eastAsia" w:ascii="Times New Roman" w:hAnsi="Times New Roman" w:eastAsia="宋体" w:cs="宋体"/>
          <w:b/>
          <w:bCs/>
          <w:sz w:val="28"/>
          <w:szCs w:val="28"/>
        </w:rPr>
      </w:pPr>
      <w:r>
        <w:rPr>
          <w:rFonts w:hint="eastAsia" w:ascii="Times New Roman" w:hAnsi="Times New Roman" w:eastAsia="宋体" w:cs="宋体"/>
          <w:b/>
          <w:bCs/>
          <w:sz w:val="28"/>
          <w:szCs w:val="28"/>
          <w:lang w:eastAsia="zh-CN"/>
        </w:rPr>
        <w:t>（</w:t>
      </w:r>
      <w:r>
        <w:rPr>
          <w:rFonts w:hint="eastAsia" w:ascii="Times New Roman" w:hAnsi="Times New Roman" w:eastAsia="宋体" w:cs="宋体"/>
          <w:b/>
          <w:bCs/>
          <w:sz w:val="28"/>
          <w:szCs w:val="28"/>
          <w:lang w:val="en-US" w:eastAsia="zh-CN"/>
        </w:rPr>
        <w:t>3</w:t>
      </w:r>
      <w:r>
        <w:rPr>
          <w:rFonts w:hint="eastAsia" w:ascii="Times New Roman" w:hAnsi="Times New Roman" w:eastAsia="宋体" w:cs="宋体"/>
          <w:b/>
          <w:bCs/>
          <w:sz w:val="28"/>
          <w:szCs w:val="28"/>
          <w:lang w:eastAsia="zh-CN"/>
        </w:rPr>
        <w:t>）</w:t>
      </w:r>
      <w:r>
        <w:rPr>
          <w:rFonts w:hint="eastAsia" w:ascii="Times New Roman" w:hAnsi="Times New Roman" w:eastAsia="宋体" w:cs="宋体"/>
          <w:b/>
          <w:bCs/>
          <w:sz w:val="28"/>
          <w:szCs w:val="28"/>
        </w:rPr>
        <w:t>导师考核综合评价机制</w:t>
      </w:r>
    </w:p>
    <w:p>
      <w:pPr>
        <w:pStyle w:val="2"/>
        <w:rPr>
          <w:rFonts w:hint="eastAsia" w:ascii="Times New Roman" w:hAnsi="Times New Roman" w:eastAsia="宋体" w:cs="宋体"/>
          <w:sz w:val="28"/>
          <w:szCs w:val="28"/>
        </w:rPr>
      </w:pPr>
      <w:r>
        <w:rPr>
          <w:rFonts w:hint="eastAsia" w:ascii="Times New Roman" w:hAnsi="Times New Roman" w:eastAsia="宋体" w:cs="宋体"/>
          <w:sz w:val="28"/>
          <w:szCs w:val="28"/>
        </w:rPr>
        <w:t>学位点实行导师负责制，明确导师作为研究生培养第一责任人。对导师考核，坚持以立德树人为根本，高度重视学术道德建设，维护学术诚信，摒弃学术不端，采取学位委员会评价、教学督导评价、研究生评价和导师自我评价相结合的方式，综合考核导师以德立身、立学、施教情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leftChars="20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6.学术训练</w:t>
      </w:r>
    </w:p>
    <w:p>
      <w:pPr>
        <w:pStyle w:val="2"/>
        <w:rPr>
          <w:rFonts w:hint="eastAsia" w:ascii="Times New Roman" w:hAnsi="Times New Roman" w:eastAsia="宋体" w:cs="宋体"/>
          <w:sz w:val="28"/>
          <w:szCs w:val="28"/>
        </w:rPr>
      </w:pPr>
      <w:r>
        <w:rPr>
          <w:rFonts w:hint="eastAsia" w:ascii="Times New Roman" w:hAnsi="Times New Roman" w:eastAsia="宋体" w:cs="宋体"/>
          <w:sz w:val="28"/>
          <w:szCs w:val="28"/>
        </w:rPr>
        <w:t>通过文献阅读、讨论课、论坛、导师科研项目、指导学术论文撰写、学术会议和社会实践等对其进行学术训练。</w:t>
      </w:r>
    </w:p>
    <w:p>
      <w:pPr>
        <w:pStyle w:val="2"/>
        <w:rPr>
          <w:rFonts w:hint="eastAsia" w:ascii="Times New Roman" w:hAnsi="Times New Roman" w:eastAsia="宋体" w:cs="宋体"/>
          <w:sz w:val="28"/>
          <w:szCs w:val="28"/>
        </w:rPr>
      </w:pPr>
      <w:r>
        <w:rPr>
          <w:rFonts w:hint="eastAsia" w:ascii="Times New Roman" w:hAnsi="Times New Roman" w:eastAsia="宋体" w:cs="宋体"/>
          <w:b/>
          <w:bCs/>
          <w:sz w:val="28"/>
          <w:szCs w:val="28"/>
          <w:lang w:eastAsia="zh-CN"/>
        </w:rPr>
        <w:t>（</w:t>
      </w:r>
      <w:r>
        <w:rPr>
          <w:rFonts w:hint="eastAsia" w:ascii="Times New Roman" w:hAnsi="Times New Roman" w:eastAsia="宋体" w:cs="宋体"/>
          <w:b/>
          <w:bCs/>
          <w:sz w:val="28"/>
          <w:szCs w:val="28"/>
          <w:lang w:val="en-US" w:eastAsia="zh-CN"/>
        </w:rPr>
        <w:t>1</w:t>
      </w:r>
      <w:r>
        <w:rPr>
          <w:rFonts w:hint="eastAsia" w:ascii="Times New Roman" w:hAnsi="Times New Roman" w:eastAsia="宋体" w:cs="宋体"/>
          <w:b/>
          <w:bCs/>
          <w:sz w:val="28"/>
          <w:szCs w:val="28"/>
          <w:lang w:eastAsia="zh-CN"/>
        </w:rPr>
        <w:t>）</w:t>
      </w:r>
      <w:r>
        <w:rPr>
          <w:rFonts w:hint="eastAsia" w:ascii="Times New Roman" w:hAnsi="Times New Roman" w:eastAsia="宋体" w:cs="宋体"/>
          <w:b/>
          <w:bCs/>
          <w:sz w:val="28"/>
          <w:szCs w:val="28"/>
        </w:rPr>
        <w:t>文献阅读：</w:t>
      </w:r>
      <w:r>
        <w:rPr>
          <w:rFonts w:hint="eastAsia" w:ascii="Times New Roman" w:hAnsi="Times New Roman" w:eastAsia="宋体" w:cs="宋体"/>
          <w:sz w:val="28"/>
          <w:szCs w:val="28"/>
        </w:rPr>
        <w:t>除学科指定阅读书目外，每位研究生根据所选研究方向至少应阅读60篇研究文献，其中外文文献不少于20篇，并撰写3000-5000字左右的文献综述报告2-3篇。</w:t>
      </w:r>
    </w:p>
    <w:p>
      <w:pPr>
        <w:pStyle w:val="2"/>
        <w:rPr>
          <w:rFonts w:hint="eastAsia" w:ascii="Times New Roman" w:hAnsi="Times New Roman" w:eastAsia="宋体" w:cs="宋体"/>
          <w:sz w:val="28"/>
          <w:szCs w:val="28"/>
        </w:rPr>
      </w:pPr>
      <w:r>
        <w:rPr>
          <w:rFonts w:hint="eastAsia" w:ascii="Times New Roman" w:hAnsi="Times New Roman" w:eastAsia="宋体" w:cs="宋体"/>
          <w:b/>
          <w:bCs/>
          <w:sz w:val="28"/>
          <w:szCs w:val="28"/>
          <w:lang w:eastAsia="zh-CN"/>
        </w:rPr>
        <w:t>（</w:t>
      </w:r>
      <w:r>
        <w:rPr>
          <w:rFonts w:hint="eastAsia" w:ascii="Times New Roman" w:hAnsi="Times New Roman" w:eastAsia="宋体" w:cs="宋体"/>
          <w:b/>
          <w:bCs/>
          <w:sz w:val="28"/>
          <w:szCs w:val="28"/>
          <w:lang w:val="en-US" w:eastAsia="zh-CN"/>
        </w:rPr>
        <w:t>2</w:t>
      </w:r>
      <w:r>
        <w:rPr>
          <w:rFonts w:hint="eastAsia" w:ascii="Times New Roman" w:hAnsi="Times New Roman" w:eastAsia="宋体" w:cs="宋体"/>
          <w:b/>
          <w:bCs/>
          <w:sz w:val="28"/>
          <w:szCs w:val="28"/>
          <w:lang w:eastAsia="zh-CN"/>
        </w:rPr>
        <w:t>）</w:t>
      </w:r>
      <w:r>
        <w:rPr>
          <w:rFonts w:hint="eastAsia" w:ascii="Times New Roman" w:hAnsi="Times New Roman" w:eastAsia="宋体" w:cs="宋体"/>
          <w:b/>
          <w:bCs/>
          <w:sz w:val="28"/>
          <w:szCs w:val="28"/>
        </w:rPr>
        <w:t>交流能力：</w:t>
      </w:r>
      <w:r>
        <w:rPr>
          <w:rFonts w:hint="eastAsia" w:ascii="Times New Roman" w:hAnsi="Times New Roman" w:eastAsia="宋体" w:cs="宋体"/>
          <w:sz w:val="28"/>
          <w:szCs w:val="28"/>
        </w:rPr>
        <w:t>要求研究生在本学科学术活动中至少做3次主题报告，鼓励资助学生参加相关学术会议30余人次。在开题、中期考核、学位论文中期检查和答辩过程中，充分训练研究生学术表达和多媒体制作能力，并通过演讲和辩论等形式提升口语表达。</w:t>
      </w:r>
    </w:p>
    <w:p>
      <w:pPr>
        <w:pStyle w:val="2"/>
        <w:rPr>
          <w:rFonts w:hint="eastAsia" w:ascii="Times New Roman" w:hAnsi="Times New Roman" w:eastAsia="宋体" w:cs="宋体"/>
          <w:sz w:val="28"/>
          <w:szCs w:val="28"/>
        </w:rPr>
      </w:pPr>
      <w:r>
        <w:rPr>
          <w:rFonts w:hint="eastAsia" w:ascii="Times New Roman" w:hAnsi="Times New Roman" w:eastAsia="宋体" w:cs="宋体"/>
          <w:b/>
          <w:bCs/>
          <w:sz w:val="28"/>
          <w:szCs w:val="28"/>
          <w:lang w:eastAsia="zh-CN"/>
        </w:rPr>
        <w:t>（</w:t>
      </w:r>
      <w:r>
        <w:rPr>
          <w:rFonts w:hint="eastAsia" w:ascii="Times New Roman" w:hAnsi="Times New Roman" w:eastAsia="宋体" w:cs="宋体"/>
          <w:b/>
          <w:bCs/>
          <w:sz w:val="28"/>
          <w:szCs w:val="28"/>
          <w:lang w:val="en-US" w:eastAsia="zh-CN"/>
        </w:rPr>
        <w:t>3</w:t>
      </w:r>
      <w:r>
        <w:rPr>
          <w:rFonts w:hint="eastAsia" w:ascii="Times New Roman" w:hAnsi="Times New Roman" w:eastAsia="宋体" w:cs="宋体"/>
          <w:b/>
          <w:bCs/>
          <w:sz w:val="28"/>
          <w:szCs w:val="28"/>
          <w:lang w:eastAsia="zh-CN"/>
        </w:rPr>
        <w:t>）</w:t>
      </w:r>
      <w:r>
        <w:rPr>
          <w:rFonts w:hint="eastAsia" w:ascii="Times New Roman" w:hAnsi="Times New Roman" w:eastAsia="宋体" w:cs="宋体"/>
          <w:b/>
          <w:bCs/>
          <w:sz w:val="28"/>
          <w:szCs w:val="28"/>
        </w:rPr>
        <w:t>科研项目：</w:t>
      </w:r>
      <w:r>
        <w:rPr>
          <w:rFonts w:hint="eastAsia" w:ascii="Times New Roman" w:hAnsi="Times New Roman" w:eastAsia="宋体" w:cs="宋体"/>
          <w:sz w:val="28"/>
          <w:szCs w:val="28"/>
        </w:rPr>
        <w:t>每位研究生必须参与导师的科研项目实践，并鼓励其积极申报学校和湖南省研究生科研创新项目。本学科近年科创项目立项情况如表6所示。</w:t>
      </w:r>
    </w:p>
    <w:p>
      <w:pPr>
        <w:pStyle w:val="2"/>
        <w:rPr>
          <w:rFonts w:hint="eastAsia" w:ascii="Times New Roman" w:hAnsi="Times New Roman" w:eastAsia="宋体" w:cs="宋体"/>
          <w:sz w:val="28"/>
          <w:szCs w:val="28"/>
        </w:rPr>
      </w:pPr>
      <w:r>
        <w:rPr>
          <w:rFonts w:hint="eastAsia" w:ascii="Times New Roman" w:hAnsi="Times New Roman" w:eastAsia="宋体" w:cs="宋体"/>
          <w:b/>
          <w:bCs/>
          <w:sz w:val="28"/>
          <w:szCs w:val="28"/>
          <w:lang w:eastAsia="zh-CN"/>
        </w:rPr>
        <w:t>（</w:t>
      </w:r>
      <w:r>
        <w:rPr>
          <w:rFonts w:hint="eastAsia" w:ascii="Times New Roman" w:hAnsi="Times New Roman" w:eastAsia="宋体" w:cs="宋体"/>
          <w:b/>
          <w:bCs/>
          <w:sz w:val="28"/>
          <w:szCs w:val="28"/>
          <w:lang w:val="en-US" w:eastAsia="zh-CN"/>
        </w:rPr>
        <w:t>4</w:t>
      </w:r>
      <w:r>
        <w:rPr>
          <w:rFonts w:hint="eastAsia" w:ascii="Times New Roman" w:hAnsi="Times New Roman" w:eastAsia="宋体" w:cs="宋体"/>
          <w:b/>
          <w:bCs/>
          <w:sz w:val="28"/>
          <w:szCs w:val="28"/>
          <w:lang w:eastAsia="zh-CN"/>
        </w:rPr>
        <w:t>）</w:t>
      </w:r>
      <w:r>
        <w:rPr>
          <w:rFonts w:hint="eastAsia" w:ascii="Times New Roman" w:hAnsi="Times New Roman" w:eastAsia="宋体" w:cs="宋体"/>
          <w:b/>
          <w:bCs/>
          <w:sz w:val="28"/>
          <w:szCs w:val="28"/>
        </w:rPr>
        <w:t>社会实践：</w:t>
      </w:r>
      <w:r>
        <w:rPr>
          <w:rFonts w:hint="eastAsia" w:ascii="Times New Roman" w:hAnsi="Times New Roman" w:eastAsia="宋体" w:cs="宋体"/>
          <w:sz w:val="28"/>
          <w:szCs w:val="28"/>
        </w:rPr>
        <w:t>通过支教、三下乡以及自选社会实践项目，进行研究问题调研，不仅开拓研究生的视野，也极大提升了其实践能力。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leftChars="20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7. 学术交流</w:t>
      </w:r>
    </w:p>
    <w:p>
      <w:pPr>
        <w:pStyle w:val="2"/>
        <w:rPr>
          <w:rFonts w:hint="eastAsia" w:ascii="Times New Roman" w:hAnsi="Times New Roman" w:eastAsia="宋体" w:cs="宋体"/>
          <w:sz w:val="28"/>
          <w:szCs w:val="28"/>
          <w:lang w:eastAsia="zh-CN"/>
        </w:rPr>
      </w:pPr>
      <w:r>
        <w:rPr>
          <w:rFonts w:hint="eastAsia" w:ascii="Times New Roman" w:hAnsi="Times New Roman" w:eastAsia="宋体" w:cs="宋体"/>
          <w:sz w:val="28"/>
          <w:szCs w:val="28"/>
        </w:rPr>
        <w:t>每位研究生需参加各种学术活动，含学术讲座、学术会议、作专题报告等，累计次数不少于</w:t>
      </w:r>
      <w:r>
        <w:rPr>
          <w:rFonts w:hint="eastAsia" w:ascii="Times New Roman" w:hAnsi="Times New Roman" w:eastAsia="宋体" w:cs="宋体"/>
          <w:sz w:val="28"/>
          <w:szCs w:val="28"/>
          <w:lang w:val="en-US" w:eastAsia="zh-CN"/>
        </w:rPr>
        <w:t>8</w:t>
      </w:r>
      <w:r>
        <w:rPr>
          <w:rFonts w:hint="eastAsia" w:ascii="Times New Roman" w:hAnsi="Times New Roman" w:eastAsia="宋体" w:cs="宋体"/>
          <w:sz w:val="28"/>
          <w:szCs w:val="28"/>
        </w:rPr>
        <w:t>次，其中研究生本人作专题报告至少</w:t>
      </w:r>
      <w:r>
        <w:rPr>
          <w:rFonts w:hint="eastAsia" w:ascii="Times New Roman" w:hAnsi="Times New Roman" w:eastAsia="宋体" w:cs="宋体"/>
          <w:sz w:val="28"/>
          <w:szCs w:val="28"/>
          <w:lang w:val="en-US" w:eastAsia="zh-CN"/>
        </w:rPr>
        <w:t>3</w:t>
      </w:r>
      <w:r>
        <w:rPr>
          <w:rFonts w:hint="eastAsia" w:ascii="Times New Roman" w:hAnsi="Times New Roman" w:eastAsia="宋体" w:cs="宋体"/>
          <w:sz w:val="28"/>
          <w:szCs w:val="28"/>
        </w:rPr>
        <w:t>次，听取</w:t>
      </w:r>
      <w:r>
        <w:rPr>
          <w:rFonts w:hint="eastAsia" w:ascii="Times New Roman" w:hAnsi="Times New Roman" w:eastAsia="宋体" w:cs="宋体"/>
          <w:sz w:val="28"/>
          <w:szCs w:val="28"/>
          <w:lang w:val="en-US" w:eastAsia="zh-CN"/>
        </w:rPr>
        <w:t>学术</w:t>
      </w:r>
      <w:r>
        <w:rPr>
          <w:rFonts w:hint="eastAsia" w:ascii="Times New Roman" w:hAnsi="Times New Roman" w:eastAsia="宋体" w:cs="宋体"/>
          <w:sz w:val="28"/>
          <w:szCs w:val="28"/>
        </w:rPr>
        <w:t>道德和</w:t>
      </w:r>
      <w:r>
        <w:rPr>
          <w:rFonts w:hint="eastAsia" w:ascii="Times New Roman" w:hAnsi="Times New Roman" w:eastAsia="宋体" w:cs="宋体"/>
          <w:sz w:val="28"/>
          <w:szCs w:val="28"/>
          <w:lang w:val="en-US" w:eastAsia="zh-CN"/>
        </w:rPr>
        <w:t>学术伦理、规范相关报告</w:t>
      </w:r>
      <w:r>
        <w:rPr>
          <w:rFonts w:hint="eastAsia" w:ascii="Times New Roman" w:hAnsi="Times New Roman" w:eastAsia="宋体" w:cs="宋体"/>
          <w:sz w:val="28"/>
          <w:szCs w:val="28"/>
        </w:rPr>
        <w:t>至少</w:t>
      </w:r>
      <w:r>
        <w:rPr>
          <w:rFonts w:hint="eastAsia" w:ascii="Times New Roman" w:hAnsi="Times New Roman" w:eastAsia="宋体" w:cs="宋体"/>
          <w:sz w:val="28"/>
          <w:szCs w:val="28"/>
          <w:lang w:val="en-US" w:eastAsia="zh-CN"/>
        </w:rPr>
        <w:t>1</w:t>
      </w:r>
      <w:r>
        <w:rPr>
          <w:rFonts w:hint="eastAsia" w:ascii="Times New Roman" w:hAnsi="Times New Roman" w:eastAsia="宋体" w:cs="宋体"/>
          <w:sz w:val="28"/>
          <w:szCs w:val="28"/>
        </w:rPr>
        <w:t>次，并将其记录作为评奖评优和答辩资格审查的重要依据。同时，鼓励研究生参加学术会议、国外交换生、暑期学校和研究生论坛等学术交流活动，经费由学科建设经费或导师科研经费提供。</w:t>
      </w:r>
      <w:r>
        <w:rPr>
          <w:rFonts w:hint="eastAsia" w:ascii="Times New Roman" w:hAnsi="Times New Roman" w:eastAsia="宋体" w:cs="宋体"/>
          <w:sz w:val="28"/>
          <w:szCs w:val="28"/>
          <w:lang w:val="en-US" w:eastAsia="zh-CN"/>
        </w:rPr>
        <w:t>同时，</w:t>
      </w:r>
      <w:r>
        <w:rPr>
          <w:rFonts w:hint="eastAsia" w:ascii="Times New Roman" w:hAnsi="Times New Roman" w:eastAsia="宋体" w:cs="宋体"/>
          <w:sz w:val="28"/>
          <w:szCs w:val="28"/>
        </w:rPr>
        <w:t>学科依托“学之道•师之道•研之道”大讲坛和研究生学术活动节每年定期邀请国内知名学者、专家和名师来校讲学</w:t>
      </w:r>
      <w:r>
        <w:rPr>
          <w:rFonts w:hint="eastAsia" w:ascii="Times New Roman" w:hAnsi="Times New Roman" w:eastAsia="宋体" w:cs="宋体"/>
          <w:sz w:val="28"/>
          <w:szCs w:val="28"/>
          <w:lang w:eastAsia="zh-CN"/>
        </w:rPr>
        <w:t>。</w:t>
      </w:r>
    </w:p>
    <w:p>
      <w:pPr>
        <w:rPr>
          <w:rFonts w:hint="default" w:eastAsia="宋体"/>
          <w:lang w:val="en-US" w:eastAsia="zh-CN"/>
        </w:rPr>
      </w:pPr>
      <w:r>
        <w:rPr>
          <w:rFonts w:hint="eastAsia" w:ascii="Times New Roman" w:hAnsi="Times New Roman" w:cs="宋体"/>
          <w:sz w:val="28"/>
          <w:szCs w:val="28"/>
          <w:lang w:val="en-US" w:eastAsia="zh-CN"/>
        </w:rPr>
        <w:t xml:space="preserve">    2021年，学院承办了湖南省翻译工作者协会第27次年会暨学术研讨会，硕士生导师周芬芬教授做了专题报告，其余5名教师和15名研究生进行论文宣读和交流，其中一名研究生在青年英才论坛获得征文三等奖。</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leftChars="20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8.学风建设</w:t>
      </w:r>
    </w:p>
    <w:p>
      <w:pPr>
        <w:spacing w:line="520" w:lineRule="exact"/>
        <w:ind w:firstLine="560" w:firstLineChars="200"/>
        <w:rPr>
          <w:rFonts w:hint="eastAsia" w:ascii="Times New Roman" w:hAnsi="Times New Roman" w:eastAsia="宋体" w:cs="宋体"/>
          <w:sz w:val="28"/>
          <w:szCs w:val="28"/>
        </w:rPr>
      </w:pPr>
      <w:r>
        <w:rPr>
          <w:rFonts w:hint="eastAsia" w:hAnsi="宋体"/>
          <w:color w:val="000000"/>
          <w:sz w:val="28"/>
          <w:szCs w:val="28"/>
        </w:rPr>
        <w:t>研究生在入学之初均进行了为期</w:t>
      </w:r>
      <w:r>
        <w:rPr>
          <w:color w:val="000000"/>
          <w:sz w:val="28"/>
          <w:szCs w:val="28"/>
        </w:rPr>
        <w:t>1</w:t>
      </w:r>
      <w:r>
        <w:rPr>
          <w:rFonts w:hint="eastAsia" w:hAnsi="宋体"/>
          <w:color w:val="000000"/>
          <w:sz w:val="28"/>
          <w:szCs w:val="28"/>
        </w:rPr>
        <w:t>周的入校教育，包括科学道德和学术规范教育。同时，依照《湖南农业大学研究生学术道德规范及违规处理实施意见》，对违反学术道德规范的研究生严肃处理，并通报全校。积极推行研究生学术道德导师负责制，贯穿研究生教育各个培养环节。并</w:t>
      </w:r>
      <w:r>
        <w:rPr>
          <w:rFonts w:hAnsi="宋体"/>
          <w:color w:val="000000"/>
          <w:sz w:val="28"/>
          <w:szCs w:val="28"/>
        </w:rPr>
        <w:t>邀请</w:t>
      </w:r>
      <w:r>
        <w:rPr>
          <w:rFonts w:hint="eastAsia" w:hAnsi="宋体"/>
          <w:color w:val="000000"/>
          <w:sz w:val="28"/>
          <w:szCs w:val="28"/>
        </w:rPr>
        <w:t>学术严谨、学业有成的校友、学者进行宣讲</w:t>
      </w:r>
      <w:r>
        <w:rPr>
          <w:rFonts w:hAnsi="宋体"/>
          <w:color w:val="000000"/>
          <w:sz w:val="28"/>
          <w:szCs w:val="28"/>
        </w:rPr>
        <w:t>。</w:t>
      </w:r>
      <w:r>
        <w:rPr>
          <w:rFonts w:hint="eastAsia" w:hAnsi="宋体"/>
          <w:color w:val="000000"/>
          <w:sz w:val="28"/>
          <w:szCs w:val="28"/>
        </w:rPr>
        <w:t>本学位点所有硕士研究生</w:t>
      </w:r>
      <w:r>
        <w:rPr>
          <w:rFonts w:hint="eastAsia" w:hAnsi="宋体"/>
          <w:color w:val="000000"/>
          <w:sz w:val="28"/>
          <w:szCs w:val="28"/>
          <w:lang w:val="en-US" w:eastAsia="zh-CN"/>
        </w:rPr>
        <w:t>全年未</w:t>
      </w:r>
      <w:r>
        <w:rPr>
          <w:rFonts w:hint="eastAsia" w:hAnsi="宋体"/>
          <w:color w:val="000000"/>
          <w:sz w:val="28"/>
          <w:szCs w:val="28"/>
        </w:rPr>
        <w:t>发生一起违反学术道德的行为。</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line="520" w:lineRule="exact"/>
        <w:ind w:leftChars="20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培养成效</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2021年，学位点</w:t>
      </w:r>
      <w:r>
        <w:rPr>
          <w:rFonts w:hint="eastAsia" w:ascii="宋体" w:hAnsi="宋体" w:eastAsia="宋体" w:cs="宋体"/>
          <w:sz w:val="28"/>
          <w:szCs w:val="28"/>
        </w:rPr>
        <w:t>获评校级优秀毕业研究生1人</w:t>
      </w:r>
      <w:r>
        <w:rPr>
          <w:rFonts w:hint="eastAsia" w:ascii="宋体" w:hAnsi="宋体" w:eastAsia="宋体" w:cs="宋体"/>
          <w:sz w:val="28"/>
          <w:szCs w:val="28"/>
          <w:lang w:eastAsia="zh-CN"/>
        </w:rPr>
        <w:t>、</w:t>
      </w:r>
      <w:r>
        <w:rPr>
          <w:rFonts w:hint="eastAsia" w:ascii="宋体" w:hAnsi="宋体" w:eastAsia="宋体" w:cs="宋体"/>
          <w:sz w:val="28"/>
          <w:szCs w:val="28"/>
        </w:rPr>
        <w:t>2021年研究生国家奖学金2人；学校推荐参评湖南省科技厅组织的2021年度大学生科技创新创业能力培养项目1项；推荐参评校级优秀硕士学位论文3篇</w:t>
      </w:r>
      <w:r>
        <w:rPr>
          <w:rFonts w:hint="eastAsia" w:ascii="宋体" w:hAnsi="宋体" w:eastAsia="宋体" w:cs="宋体"/>
          <w:sz w:val="28"/>
          <w:szCs w:val="28"/>
          <w:lang w:eastAsia="zh-CN"/>
        </w:rPr>
        <w:t>；</w:t>
      </w:r>
      <w:r>
        <w:rPr>
          <w:rFonts w:hint="eastAsia" w:ascii="Times New Roman" w:hAnsi="Times New Roman" w:eastAsia="宋体" w:cs="宋体"/>
          <w:sz w:val="28"/>
          <w:szCs w:val="28"/>
        </w:rPr>
        <w:t>获评校级“学生优秀党员”1人</w:t>
      </w:r>
      <w:r>
        <w:rPr>
          <w:rFonts w:hint="eastAsia" w:ascii="Times New Roman" w:hAnsi="Times New Roman" w:eastAsia="宋体" w:cs="宋体"/>
          <w:sz w:val="28"/>
          <w:szCs w:val="28"/>
          <w:lang w:eastAsia="zh-CN"/>
        </w:rPr>
        <w:t>、校级优秀团干1人、优秀团员3人、优秀学干1人。</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line="520" w:lineRule="exact"/>
        <w:ind w:leftChars="20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管理服务</w:t>
      </w:r>
    </w:p>
    <w:p>
      <w:pPr>
        <w:pStyle w:val="14"/>
        <w:rPr>
          <w:rFonts w:hint="eastAsia" w:ascii="Times New Roman" w:hAnsi="Times New Roman" w:eastAsia="宋体" w:cs="宋体"/>
          <w:sz w:val="28"/>
          <w:szCs w:val="28"/>
        </w:rPr>
      </w:pPr>
      <w:r>
        <w:rPr>
          <w:rFonts w:hint="eastAsia" w:ascii="Times New Roman" w:hAnsi="Times New Roman" w:eastAsia="宋体" w:cs="宋体"/>
          <w:sz w:val="28"/>
          <w:szCs w:val="28"/>
        </w:rPr>
        <w:t>依照学校相关管理制度，学院院长全面负责学科建设和学位工作，一名副书记兼副院长分管研究生的日常管理工作。学院还成立了专门的硕士点办公室，配备了</w:t>
      </w:r>
      <w:r>
        <w:rPr>
          <w:rFonts w:hint="eastAsia" w:ascii="Times New Roman" w:hAnsi="Times New Roman" w:eastAsia="宋体" w:cs="宋体"/>
          <w:sz w:val="28"/>
          <w:szCs w:val="28"/>
          <w:lang w:val="en-US" w:eastAsia="zh-CN"/>
        </w:rPr>
        <w:t>3</w:t>
      </w:r>
      <w:r>
        <w:rPr>
          <w:rFonts w:hint="eastAsia" w:ascii="Times New Roman" w:hAnsi="Times New Roman" w:eastAsia="宋体" w:cs="宋体"/>
          <w:sz w:val="28"/>
          <w:szCs w:val="28"/>
        </w:rPr>
        <w:t>名兼职管理人员。</w:t>
      </w:r>
    </w:p>
    <w:p>
      <w:pPr>
        <w:pStyle w:val="14"/>
        <w:rPr>
          <w:rFonts w:hint="eastAsia" w:ascii="Times New Roman" w:hAnsi="Times New Roman" w:eastAsia="宋体" w:cs="宋体"/>
          <w:sz w:val="28"/>
          <w:szCs w:val="28"/>
        </w:rPr>
      </w:pPr>
      <w:r>
        <w:rPr>
          <w:rFonts w:ascii="Times New Roman" w:hAnsi="Times New Roman" w:cs="Times New Roman"/>
          <w:color w:val="000000"/>
        </w:rPr>
        <w:t>学院以价值引领为支点，在研究生导师、研究生秘书、研究生辅导员的协同配合下，举办各类学科竞赛、学术交流、学术讲座等专业活动，积极推动研究生基地建设，营造教学相长、师生相宜、团队共建的导学文化氛围，提升研究生的综合素质和创新实践能力。为了使研究生在学习阶段打下坚实的理论基础并学好专业知识，更好地从事科研工作，学院</w:t>
      </w:r>
      <w:r>
        <w:rPr>
          <w:rFonts w:hint="eastAsia" w:ascii="Times New Roman" w:hAnsi="Times New Roman" w:cs="Times New Roman"/>
          <w:color w:val="000000"/>
          <w:lang w:val="en-US" w:eastAsia="zh-CN"/>
        </w:rPr>
        <w:t>一方面</w:t>
      </w:r>
      <w:r>
        <w:rPr>
          <w:rFonts w:ascii="Times New Roman" w:hAnsi="Times New Roman" w:cs="Times New Roman"/>
          <w:color w:val="000000"/>
        </w:rPr>
        <w:t>根据科技发展和行业需求，深入调研和分析，及时调整教学计划，优化教学内容，改进教学手段和方法；另一方面，规范落实，注重监督，建章立制保障优良学风。学院定期举办学风建设推进会、院领导接待日、我与导师面对面等活动，充分调研和分析研究生目前关于学业存在的问题、困难与需求，对症下药、精准解决，有效调动研究生参与学术交流积极性，培养实事求是的科学精神和严谨踏实的治学态度。</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line="520" w:lineRule="exact"/>
        <w:ind w:leftChars="20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就业发展</w:t>
      </w:r>
    </w:p>
    <w:p>
      <w:pPr>
        <w:pStyle w:val="2"/>
        <w:rPr>
          <w:rFonts w:hint="eastAsia" w:ascii="Times New Roman" w:hAnsi="Times New Roman" w:eastAsia="宋体" w:cs="宋体"/>
          <w:sz w:val="28"/>
          <w:szCs w:val="28"/>
        </w:rPr>
      </w:pPr>
      <w:r>
        <w:rPr>
          <w:rFonts w:hint="eastAsia" w:ascii="Times New Roman" w:hAnsi="Times New Roman" w:eastAsia="宋体" w:cs="宋体"/>
          <w:sz w:val="28"/>
          <w:szCs w:val="28"/>
        </w:rPr>
        <w:t>学位点积极为研究生就业提供就业指导，邀请优秀校友和创业典型回校进行就业创业专题讲座，并由分管学生工作副书记带队积极拓宽就业市场。</w:t>
      </w:r>
    </w:p>
    <w:p>
      <w:pPr>
        <w:pStyle w:val="2"/>
        <w:rPr>
          <w:rFonts w:hint="eastAsia" w:ascii="Times New Roman" w:hAnsi="Times New Roman" w:eastAsia="宋体" w:cs="宋体"/>
          <w:sz w:val="28"/>
          <w:szCs w:val="28"/>
        </w:rPr>
      </w:pPr>
      <w:r>
        <w:rPr>
          <w:rFonts w:hint="eastAsia" w:ascii="Times New Roman" w:hAnsi="Times New Roman" w:eastAsia="宋体" w:cs="宋体"/>
          <w:sz w:val="28"/>
          <w:szCs w:val="28"/>
          <w:lang w:val="en-US" w:eastAsia="zh-CN"/>
        </w:rPr>
        <w:t>2021</w:t>
      </w:r>
      <w:r>
        <w:rPr>
          <w:rFonts w:hint="eastAsia" w:ascii="Times New Roman" w:hAnsi="Times New Roman" w:eastAsia="宋体" w:cs="宋体"/>
          <w:sz w:val="28"/>
          <w:szCs w:val="28"/>
        </w:rPr>
        <w:t>年</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lang w:val="en-US" w:eastAsia="zh-CN"/>
        </w:rPr>
        <w:t>本学位点</w:t>
      </w:r>
      <w:r>
        <w:rPr>
          <w:rFonts w:hint="eastAsia" w:ascii="Times New Roman" w:hAnsi="Times New Roman" w:eastAsia="宋体" w:cs="宋体"/>
          <w:sz w:val="28"/>
          <w:szCs w:val="28"/>
        </w:rPr>
        <w:t>全日制硕士毕业研究生</w:t>
      </w:r>
      <w:r>
        <w:rPr>
          <w:rFonts w:hint="eastAsia" w:ascii="Times New Roman" w:hAnsi="Times New Roman" w:eastAsia="宋体" w:cs="宋体"/>
          <w:sz w:val="28"/>
          <w:szCs w:val="28"/>
          <w:lang w:val="en-US" w:eastAsia="zh-CN"/>
        </w:rPr>
        <w:t>10</w:t>
      </w:r>
      <w:r>
        <w:rPr>
          <w:rFonts w:hint="eastAsia" w:ascii="Times New Roman" w:hAnsi="Times New Roman" w:eastAsia="宋体" w:cs="宋体"/>
          <w:sz w:val="28"/>
          <w:szCs w:val="28"/>
        </w:rPr>
        <w:t>人，初次就业率</w:t>
      </w:r>
      <w:r>
        <w:rPr>
          <w:rFonts w:hint="eastAsia" w:ascii="Times New Roman" w:hAnsi="Times New Roman" w:eastAsia="宋体" w:cs="宋体"/>
          <w:sz w:val="28"/>
          <w:szCs w:val="28"/>
          <w:lang w:val="en-US" w:eastAsia="zh-CN"/>
        </w:rPr>
        <w:t>达100%</w:t>
      </w:r>
      <w:r>
        <w:rPr>
          <w:rFonts w:hint="eastAsia" w:ascii="Times New Roman" w:hAnsi="Times New Roman" w:eastAsia="宋体" w:cs="宋体"/>
          <w:sz w:val="28"/>
          <w:szCs w:val="28"/>
        </w:rPr>
        <w:t>。其中</w:t>
      </w:r>
      <w:r>
        <w:rPr>
          <w:rFonts w:hint="eastAsia" w:ascii="Times New Roman" w:hAnsi="Times New Roman" w:eastAsia="宋体" w:cs="宋体"/>
          <w:sz w:val="28"/>
          <w:szCs w:val="28"/>
          <w:lang w:val="en-US" w:eastAsia="zh-CN"/>
        </w:rPr>
        <w:t>从事中小学教育工作4人，企业单位5人，科研单位1人</w:t>
      </w:r>
      <w:r>
        <w:rPr>
          <w:rFonts w:hint="eastAsia" w:ascii="Times New Roman" w:hAnsi="Times New Roman" w:eastAsia="宋体" w:cs="宋体"/>
          <w:sz w:val="28"/>
          <w:szCs w:val="28"/>
        </w:rPr>
        <w:t>。</w:t>
      </w:r>
    </w:p>
    <w:p>
      <w:pPr>
        <w:keepNext w:val="0"/>
        <w:keepLines w:val="0"/>
        <w:pageBreakBefore w:val="0"/>
        <w:widowControl/>
        <w:kinsoku/>
        <w:wordWrap/>
        <w:overflowPunct/>
        <w:topLinePunct w:val="0"/>
        <w:autoSpaceDE/>
        <w:autoSpaceDN/>
        <w:bidi w:val="0"/>
        <w:adjustRightInd/>
        <w:snapToGrid/>
        <w:spacing w:before="157" w:beforeLines="50" w:after="157" w:afterLines="50" w:line="520" w:lineRule="exact"/>
        <w:jc w:val="both"/>
        <w:textAlignment w:val="auto"/>
        <w:outlineLvl w:val="9"/>
        <w:rPr>
          <w:rFonts w:hint="eastAsia" w:ascii="Times New Roman" w:hAnsi="Times New Roman" w:eastAsia="黑体" w:cs="黑体"/>
          <w:b/>
          <w:bCs w:val="0"/>
          <w:sz w:val="30"/>
          <w:szCs w:val="30"/>
          <w:lang w:val="en-US" w:eastAsia="zh-CN"/>
        </w:rPr>
      </w:pPr>
      <w:r>
        <w:rPr>
          <w:rFonts w:hint="eastAsia" w:ascii="Times New Roman" w:hAnsi="Times New Roman" w:eastAsia="黑体" w:cs="黑体"/>
          <w:b/>
          <w:bCs w:val="0"/>
          <w:sz w:val="30"/>
          <w:szCs w:val="30"/>
          <w:lang w:val="en-US" w:eastAsia="zh-CN"/>
        </w:rPr>
        <w:t xml:space="preserve">四、服务贡献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学科依托涉农高校背景，以结合农业专业发展英语能力为特色，致力于建设比较文学、语言学及翻译学等专业相互支撑的外国语言文学学科结构，以高水平的教学质量、研究成果与人才创新，承担一系列服务国家和社会的科研项目和社会工作，在参与学科的学术发展及社会需求的文化服务实践中发挥引领作用。</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562" w:firstLineChars="200"/>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深耕语言信息功能，服务文化传承与交流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学科积极探索理论联系实际的方式，锻炼与提高学生各方面语言能力。通过学校中西方文化史与西方文论等课程的设置，结合课堂外为长沙市博物馆及城市规划展示馆等社会基础设施提供语言咨询服务，从实践中弘扬湖湘特色文化，身体力行地传承与发扬中华传统文化，发挥语言特长，向世界讲好中国故事。 </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562" w:firstLineChars="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2.广泛开展学术活动，推动学科与学术发展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始终将学术科研摆在学科建设的第一梯队，</w:t>
      </w:r>
      <w:r>
        <w:rPr>
          <w:rFonts w:hint="eastAsia" w:ascii="宋体" w:hAnsi="宋体" w:cs="宋体"/>
          <w:b w:val="0"/>
          <w:bCs w:val="0"/>
          <w:sz w:val="28"/>
          <w:szCs w:val="28"/>
          <w:lang w:val="en-US" w:eastAsia="zh-CN"/>
        </w:rPr>
        <w:t>本年度，</w:t>
      </w:r>
      <w:r>
        <w:rPr>
          <w:rFonts w:hint="eastAsia" w:ascii="宋体" w:hAnsi="宋体" w:eastAsia="宋体" w:cs="宋体"/>
          <w:b w:val="0"/>
          <w:bCs w:val="0"/>
          <w:sz w:val="28"/>
          <w:szCs w:val="28"/>
        </w:rPr>
        <w:t>邀请</w:t>
      </w:r>
      <w:r>
        <w:rPr>
          <w:rFonts w:hint="eastAsia" w:ascii="宋体" w:hAnsi="宋体" w:cs="宋体"/>
          <w:b w:val="0"/>
          <w:bCs w:val="0"/>
          <w:sz w:val="28"/>
          <w:szCs w:val="28"/>
          <w:lang w:val="en-US" w:eastAsia="zh-CN"/>
        </w:rPr>
        <w:t>前</w:t>
      </w:r>
      <w:r>
        <w:rPr>
          <w:rFonts w:hint="eastAsia" w:ascii="宋体" w:hAnsi="宋体" w:eastAsia="宋体" w:cs="宋体"/>
          <w:b w:val="0"/>
          <w:bCs w:val="0"/>
          <w:sz w:val="28"/>
          <w:szCs w:val="28"/>
        </w:rPr>
        <w:t>中国外文出版发行事业局局长</w:t>
      </w:r>
      <w:r>
        <w:rPr>
          <w:rFonts w:hint="eastAsia" w:ascii="宋体" w:hAnsi="宋体" w:cs="宋体"/>
          <w:b w:val="0"/>
          <w:bCs w:val="0"/>
          <w:sz w:val="28"/>
          <w:szCs w:val="28"/>
          <w:lang w:val="en-US" w:eastAsia="zh-CN"/>
        </w:rPr>
        <w:t>周明伟教授</w:t>
      </w:r>
      <w:r>
        <w:rPr>
          <w:rFonts w:hint="eastAsia" w:ascii="宋体" w:hAnsi="宋体" w:eastAsia="宋体" w:cs="宋体"/>
          <w:b w:val="0"/>
          <w:bCs w:val="0"/>
          <w:sz w:val="28"/>
          <w:szCs w:val="28"/>
        </w:rPr>
        <w:t>、</w:t>
      </w:r>
      <w:r>
        <w:rPr>
          <w:rFonts w:hint="eastAsia" w:ascii="宋体" w:hAnsi="宋体" w:cs="宋体"/>
          <w:b w:val="0"/>
          <w:bCs w:val="0"/>
          <w:sz w:val="28"/>
          <w:szCs w:val="28"/>
          <w:lang w:val="en-US" w:eastAsia="zh-CN"/>
        </w:rPr>
        <w:t>北京外国语大学王克非教授、广东外语外贸大学穆雷</w:t>
      </w:r>
      <w:r>
        <w:rPr>
          <w:rFonts w:hint="eastAsia" w:ascii="宋体" w:hAnsi="宋体" w:eastAsia="宋体" w:cs="宋体"/>
          <w:b w:val="0"/>
          <w:bCs w:val="0"/>
          <w:sz w:val="28"/>
          <w:szCs w:val="28"/>
        </w:rPr>
        <w:t>教授、</w:t>
      </w:r>
      <w:r>
        <w:rPr>
          <w:rFonts w:hint="eastAsia" w:ascii="宋体" w:hAnsi="宋体" w:cs="宋体"/>
          <w:b w:val="0"/>
          <w:bCs w:val="0"/>
          <w:sz w:val="28"/>
          <w:szCs w:val="28"/>
          <w:lang w:val="en-US" w:eastAsia="zh-CN"/>
        </w:rPr>
        <w:t>湖南师范大学曹波</w:t>
      </w:r>
      <w:r>
        <w:rPr>
          <w:rFonts w:hint="eastAsia" w:ascii="宋体" w:hAnsi="宋体" w:eastAsia="宋体" w:cs="宋体"/>
          <w:b w:val="0"/>
          <w:bCs w:val="0"/>
          <w:sz w:val="28"/>
          <w:szCs w:val="28"/>
        </w:rPr>
        <w:t>教授等</w:t>
      </w:r>
      <w:r>
        <w:rPr>
          <w:rFonts w:hint="eastAsia" w:ascii="宋体" w:hAnsi="宋体" w:cs="宋体"/>
          <w:b w:val="0"/>
          <w:bCs w:val="0"/>
          <w:sz w:val="28"/>
          <w:szCs w:val="28"/>
          <w:lang w:val="en-US" w:eastAsia="zh-CN"/>
        </w:rPr>
        <w:t>来校讲学</w:t>
      </w:r>
      <w:r>
        <w:rPr>
          <w:rFonts w:hint="eastAsia" w:ascii="宋体" w:hAnsi="宋体" w:eastAsia="宋体" w:cs="宋体"/>
          <w:b w:val="0"/>
          <w:bCs w:val="0"/>
          <w:sz w:val="28"/>
          <w:szCs w:val="28"/>
        </w:rPr>
        <w:t>。</w:t>
      </w:r>
      <w:r>
        <w:rPr>
          <w:rFonts w:hint="eastAsia" w:ascii="宋体" w:hAnsi="宋体" w:cs="宋体"/>
          <w:b w:val="0"/>
          <w:bCs w:val="0"/>
          <w:sz w:val="28"/>
          <w:szCs w:val="28"/>
          <w:lang w:val="en-US" w:eastAsia="zh-CN"/>
        </w:rPr>
        <w:t>积极</w:t>
      </w:r>
      <w:r>
        <w:rPr>
          <w:rFonts w:hint="eastAsia" w:ascii="宋体" w:hAnsi="宋体" w:eastAsia="宋体" w:cs="宋体"/>
          <w:b w:val="0"/>
          <w:bCs w:val="0"/>
          <w:sz w:val="28"/>
          <w:szCs w:val="28"/>
        </w:rPr>
        <w:t>打造不同精品讲座主题，如“通识大讲堂”、“三道讲坛”等特色学术活动品牌</w:t>
      </w:r>
      <w:r>
        <w:rPr>
          <w:rFonts w:hint="eastAsia" w:ascii="宋体" w:hAnsi="宋体" w:cs="宋体"/>
          <w:b w:val="0"/>
          <w:bCs w:val="0"/>
          <w:sz w:val="28"/>
          <w:szCs w:val="28"/>
          <w:lang w:eastAsia="zh-CN"/>
        </w:rPr>
        <w:t>。胡东平院长参加全国高等学校外语教育改革与发展高端论坛，并在专题论坛“院校特色大学英语课程建设”中做“‘一大四新’背景下大学英语课程与教学新思考的”主题报告。与会专家对我校的“守本、强肌、铸魂”的核心理念，对我校大学英语教学的四级联动管理模式，涉农思政内容的融入给予了高度评价；范丽群副院长参加2021年湖南省大学外语年会，就我校大学英语教学改革做专题报告。增加了全省其他高等学校对我校及我校大学英语教学改革的了解，也为我校大学外语教学的深化改革提供了更多更好的借鉴；2021年，接待福建农林大学、长沙师范学院、东华理工大学等院校来访5次。</w:t>
      </w:r>
      <w:r>
        <w:rPr>
          <w:rFonts w:hint="eastAsia" w:ascii="宋体" w:hAnsi="宋体" w:cs="宋体"/>
          <w:b w:val="0"/>
          <w:bCs w:val="0"/>
          <w:sz w:val="28"/>
          <w:szCs w:val="28"/>
          <w:lang w:val="en-US" w:eastAsia="zh-CN"/>
        </w:rPr>
        <w:t>学院于12月份</w:t>
      </w:r>
      <w:r>
        <w:rPr>
          <w:rFonts w:hint="eastAsia" w:ascii="宋体" w:hAnsi="宋体" w:cs="宋体"/>
          <w:b w:val="0"/>
          <w:bCs w:val="0"/>
          <w:sz w:val="28"/>
          <w:szCs w:val="28"/>
          <w:lang w:eastAsia="zh-CN"/>
        </w:rPr>
        <w:t>承办</w:t>
      </w:r>
      <w:r>
        <w:rPr>
          <w:rFonts w:hint="eastAsia" w:ascii="宋体" w:hAnsi="宋体" w:cs="宋体"/>
          <w:b w:val="0"/>
          <w:bCs w:val="0"/>
          <w:sz w:val="28"/>
          <w:szCs w:val="28"/>
          <w:lang w:val="en-US" w:eastAsia="zh-CN"/>
        </w:rPr>
        <w:t>了</w:t>
      </w:r>
      <w:r>
        <w:rPr>
          <w:rFonts w:hint="eastAsia" w:ascii="宋体" w:hAnsi="宋体" w:cs="宋体"/>
          <w:b w:val="0"/>
          <w:bCs w:val="0"/>
          <w:sz w:val="28"/>
          <w:szCs w:val="28"/>
          <w:lang w:eastAsia="zh-CN"/>
        </w:rPr>
        <w:t>湖南省翻译工作者协会第27次年会暨学术研讨会，三湘都市报、红网、掌上长沙等各大媒体平台报道。</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562" w:firstLineChars="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3.提高科研成果转化，致力公共与公益服务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依托隆平高科有限公司、长沙市博物馆以及湖南农业大学学报期刊社等产学研合作平台，</w:t>
      </w:r>
      <w:r>
        <w:rPr>
          <w:rFonts w:ascii="Times New Roman" w:hAnsi="Times New Roman" w:cs="Times New Roman"/>
          <w:color w:val="000000"/>
        </w:rPr>
        <w:t>积极鼓励并组织研究生进行社会实践，立足行业实际和国家发展需要，为“国际调解高峰论坛”、“中非经贸博览会”等国际会议，“全国农业博览会”、“国家商务部援外培训班”等国内会议提供语言服务</w:t>
      </w:r>
      <w:r>
        <w:rPr>
          <w:rFonts w:hint="eastAsia" w:ascii="宋体" w:hAnsi="宋体" w:eastAsia="宋体" w:cs="宋体"/>
          <w:b w:val="0"/>
          <w:bCs w:val="0"/>
          <w:sz w:val="28"/>
          <w:szCs w:val="28"/>
        </w:rPr>
        <w:t>。发挥学科特长与优势，</w:t>
      </w:r>
      <w:r>
        <w:rPr>
          <w:rFonts w:hint="eastAsia" w:ascii="宋体" w:hAnsi="宋体" w:cs="宋体"/>
          <w:b w:val="0"/>
          <w:bCs w:val="0"/>
          <w:sz w:val="28"/>
          <w:szCs w:val="28"/>
          <w:lang w:val="en-US" w:eastAsia="zh-CN"/>
        </w:rPr>
        <w:t>开展研究生支教，</w:t>
      </w:r>
      <w:r>
        <w:rPr>
          <w:rFonts w:hint="eastAsia" w:ascii="Times New Roman" w:hAnsi="Times New Roman" w:eastAsia="宋体" w:cs="宋体"/>
          <w:sz w:val="28"/>
          <w:szCs w:val="28"/>
        </w:rPr>
        <w:t>赴长沙县“长征+”国家文化公园（长沙县段）文化服务专业实践团</w:t>
      </w:r>
      <w:r>
        <w:rPr>
          <w:rFonts w:hint="eastAsia" w:ascii="Times New Roman" w:hAnsi="Times New Roman" w:cs="宋体"/>
          <w:sz w:val="28"/>
          <w:szCs w:val="28"/>
          <w:lang w:val="en-US" w:eastAsia="zh-CN"/>
        </w:rPr>
        <w:t>队</w:t>
      </w:r>
      <w:r>
        <w:rPr>
          <w:rFonts w:hint="eastAsia" w:ascii="Times New Roman" w:hAnsi="Times New Roman" w:eastAsia="宋体" w:cs="宋体"/>
          <w:sz w:val="28"/>
          <w:szCs w:val="28"/>
        </w:rPr>
        <w:t>获得优秀团队称号（全校六分之一）</w:t>
      </w:r>
      <w:r>
        <w:rPr>
          <w:rFonts w:hint="eastAsia" w:ascii="Times New Roman" w:hAnsi="Times New Roman" w:cs="宋体"/>
          <w:sz w:val="28"/>
          <w:szCs w:val="28"/>
          <w:lang w:eastAsia="zh-CN"/>
        </w:rPr>
        <w:t>，</w:t>
      </w:r>
      <w:r>
        <w:rPr>
          <w:rFonts w:hint="eastAsia" w:ascii="宋体" w:hAnsi="宋体" w:eastAsia="宋体" w:cs="宋体"/>
          <w:b w:val="0"/>
          <w:bCs w:val="0"/>
          <w:sz w:val="28"/>
          <w:szCs w:val="28"/>
        </w:rPr>
        <w:t>积极助力小镇</w:t>
      </w:r>
      <w:r>
        <w:rPr>
          <w:rFonts w:hint="eastAsia" w:ascii="宋体" w:hAnsi="宋体" w:cs="宋体"/>
          <w:b w:val="0"/>
          <w:bCs w:val="0"/>
          <w:sz w:val="28"/>
          <w:szCs w:val="28"/>
          <w:lang w:val="en-US" w:eastAsia="zh-CN"/>
        </w:rPr>
        <w:t>乡村振兴</w:t>
      </w:r>
      <w:r>
        <w:rPr>
          <w:rFonts w:hint="eastAsia" w:ascii="宋体" w:hAnsi="宋体" w:eastAsia="宋体" w:cs="宋体"/>
          <w:b w:val="0"/>
          <w:bCs w:val="0"/>
          <w:sz w:val="28"/>
          <w:szCs w:val="28"/>
        </w:rPr>
        <w:t>。</w:t>
      </w:r>
      <w:r>
        <w:rPr>
          <w:rFonts w:hint="eastAsia" w:hAnsi="宋体"/>
          <w:szCs w:val="21"/>
        </w:rPr>
        <w:t>唐灵渊</w:t>
      </w:r>
      <w:r>
        <w:rPr>
          <w:rFonts w:hint="eastAsia" w:hAnsi="宋体"/>
          <w:szCs w:val="21"/>
          <w:lang w:val="en-US" w:eastAsia="zh-CN"/>
        </w:rPr>
        <w:t>同学推荐</w:t>
      </w:r>
      <w:r>
        <w:rPr>
          <w:rFonts w:hint="eastAsia" w:hAnsi="宋体"/>
          <w:szCs w:val="21"/>
        </w:rPr>
        <w:t>参评湖南省科技厅组织的2021年度大学生科技创新创业能力培养项目</w:t>
      </w:r>
      <w:r>
        <w:rPr>
          <w:rFonts w:hint="eastAsia" w:hAnsi="宋体"/>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562" w:firstLineChars="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4.积极培养创新人才，满足社会与国家需求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学科秉持精准育人、创新育人的理念，针对行业、社会与国家需要，积极组织学生参与各类社会实践活动，为国际国内各类大型论坛会议提供语言服务，为语言相关行业输送高质量毕业生人才，为国家民族复兴提供源源不断的动力。</w:t>
      </w:r>
    </w:p>
    <w:p>
      <w:pPr>
        <w:keepNext w:val="0"/>
        <w:keepLines w:val="0"/>
        <w:pageBreakBefore w:val="0"/>
        <w:widowControl/>
        <w:kinsoku/>
        <w:wordWrap/>
        <w:overflowPunct/>
        <w:topLinePunct w:val="0"/>
        <w:autoSpaceDE/>
        <w:autoSpaceDN/>
        <w:bidi w:val="0"/>
        <w:adjustRightInd/>
        <w:snapToGrid/>
        <w:spacing w:before="157" w:beforeLines="50" w:after="157" w:afterLines="50" w:line="520" w:lineRule="exact"/>
        <w:jc w:val="both"/>
        <w:textAlignment w:val="auto"/>
        <w:outlineLvl w:val="9"/>
        <w:rPr>
          <w:rFonts w:hint="eastAsia" w:ascii="Times New Roman" w:hAnsi="Times New Roman" w:eastAsia="黑体" w:cs="黑体"/>
          <w:b/>
          <w:bCs w:val="0"/>
          <w:sz w:val="30"/>
          <w:szCs w:val="30"/>
          <w:lang w:val="en-US" w:eastAsia="zh-CN"/>
        </w:rPr>
      </w:pPr>
      <w:r>
        <w:rPr>
          <w:rFonts w:hint="eastAsia" w:ascii="Times New Roman" w:hAnsi="Times New Roman" w:eastAsia="黑体" w:cs="黑体"/>
          <w:b/>
          <w:bCs w:val="0"/>
          <w:sz w:val="30"/>
          <w:szCs w:val="30"/>
          <w:lang w:val="en-US" w:eastAsia="zh-CN"/>
        </w:rPr>
        <w:t xml:space="preserve">五、存在的问题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eastAsia" w:ascii="宋体" w:hAnsi="宋体" w:eastAsia="宋体" w:cs="宋体"/>
          <w:sz w:val="28"/>
          <w:szCs w:val="28"/>
        </w:rPr>
      </w:pPr>
      <w:r>
        <w:rPr>
          <w:rFonts w:hint="eastAsia" w:ascii="宋体" w:hAnsi="宋体" w:cs="宋体"/>
          <w:b/>
          <w:bCs/>
          <w:sz w:val="28"/>
          <w:szCs w:val="28"/>
          <w:lang w:val="en-US" w:eastAsia="zh-CN"/>
        </w:rPr>
        <w:t>1.外籍教师：</w:t>
      </w:r>
      <w:r>
        <w:rPr>
          <w:rFonts w:hint="eastAsia" w:ascii="宋体" w:hAnsi="宋体" w:eastAsia="宋体" w:cs="宋体"/>
          <w:sz w:val="28"/>
          <w:szCs w:val="28"/>
        </w:rPr>
        <w:t>缺少服务年限不少于3年的外籍专任教师；</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eastAsia" w:ascii="宋体" w:hAnsi="宋体" w:eastAsia="宋体" w:cs="宋体"/>
          <w:sz w:val="28"/>
          <w:szCs w:val="28"/>
        </w:rPr>
      </w:pPr>
      <w:r>
        <w:rPr>
          <w:rFonts w:hint="eastAsia" w:ascii="宋体" w:hAnsi="宋体" w:cs="宋体"/>
          <w:b/>
          <w:bCs/>
          <w:sz w:val="28"/>
          <w:szCs w:val="28"/>
          <w:lang w:val="en-US" w:eastAsia="zh-CN"/>
        </w:rPr>
        <w:t>2.</w:t>
      </w:r>
      <w:r>
        <w:rPr>
          <w:rFonts w:hint="eastAsia" w:ascii="宋体" w:hAnsi="宋体" w:eastAsia="宋体" w:cs="宋体"/>
          <w:b/>
          <w:bCs/>
          <w:sz w:val="28"/>
          <w:szCs w:val="28"/>
        </w:rPr>
        <w:t>博士学位比例</w:t>
      </w:r>
      <w:r>
        <w:rPr>
          <w:rFonts w:hint="eastAsia" w:ascii="宋体" w:hAnsi="宋体" w:cs="宋体"/>
          <w:b/>
          <w:bCs/>
          <w:sz w:val="28"/>
          <w:szCs w:val="28"/>
          <w:lang w:eastAsia="zh-CN"/>
        </w:rPr>
        <w:t>：</w:t>
      </w:r>
      <w:r>
        <w:rPr>
          <w:rFonts w:hint="eastAsia" w:ascii="宋体" w:hAnsi="宋体" w:eastAsia="宋体" w:cs="宋体"/>
          <w:sz w:val="28"/>
          <w:szCs w:val="28"/>
        </w:rPr>
        <w:t>未达到“不低于 40%”的要求，尤其是外国语言文学学科毕业的博士严重不足；</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eastAsia" w:ascii="宋体" w:hAnsi="宋体" w:eastAsia="宋体" w:cs="宋体"/>
          <w:sz w:val="28"/>
          <w:szCs w:val="28"/>
        </w:rPr>
      </w:pPr>
      <w:r>
        <w:rPr>
          <w:rFonts w:hint="eastAsia" w:ascii="宋体" w:hAnsi="宋体" w:cs="宋体"/>
          <w:b/>
          <w:bCs/>
          <w:sz w:val="28"/>
          <w:szCs w:val="28"/>
          <w:lang w:val="en-US" w:eastAsia="zh-CN"/>
        </w:rPr>
        <w:t>3.</w:t>
      </w:r>
      <w:r>
        <w:rPr>
          <w:rFonts w:hint="eastAsia" w:ascii="宋体" w:hAnsi="宋体" w:eastAsia="宋体" w:cs="宋体"/>
          <w:b/>
          <w:bCs/>
          <w:sz w:val="28"/>
          <w:szCs w:val="28"/>
        </w:rPr>
        <w:t>学科带头人与学术骨干</w:t>
      </w:r>
      <w:r>
        <w:rPr>
          <w:rFonts w:hint="eastAsia" w:ascii="宋体" w:hAnsi="宋体" w:cs="宋体"/>
          <w:b/>
          <w:bCs/>
          <w:sz w:val="28"/>
          <w:szCs w:val="28"/>
          <w:lang w:eastAsia="zh-CN"/>
        </w:rPr>
        <w:t>：</w:t>
      </w:r>
      <w:r>
        <w:rPr>
          <w:rFonts w:hint="eastAsia" w:ascii="宋体" w:hAnsi="宋体" w:eastAsia="宋体" w:cs="宋体"/>
          <w:sz w:val="28"/>
          <w:szCs w:val="28"/>
        </w:rPr>
        <w:t>根据“3个主干学科，每个学科方向应包括 1 名学科带头人和 2 名学术骨干”的要求，还缺少2名学科带头人(博士+教授，外国语言学及应用语言学、比较文学与跨文化研究方向)和4名学术骨干（博士+副教授，翻译学2名、外国语言学及应用语言学以及比较文学和跨文化研究各1名）；</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eastAsia" w:ascii="宋体" w:hAnsi="宋体" w:eastAsia="宋体" w:cs="宋体"/>
        </w:rPr>
      </w:pPr>
      <w:r>
        <w:rPr>
          <w:rFonts w:hint="eastAsia" w:ascii="宋体" w:hAnsi="宋体" w:cs="宋体"/>
          <w:b/>
          <w:bCs/>
          <w:sz w:val="28"/>
          <w:szCs w:val="28"/>
          <w:lang w:val="en-US" w:eastAsia="zh-CN"/>
        </w:rPr>
        <w:t>4.</w:t>
      </w:r>
      <w:r>
        <w:rPr>
          <w:rFonts w:hint="eastAsia" w:ascii="宋体" w:hAnsi="宋体" w:eastAsia="宋体" w:cs="宋体"/>
          <w:b/>
          <w:bCs/>
          <w:sz w:val="28"/>
          <w:szCs w:val="28"/>
        </w:rPr>
        <w:t>影响力：</w:t>
      </w:r>
      <w:r>
        <w:rPr>
          <w:rFonts w:hint="eastAsia" w:ascii="宋体" w:hAnsi="宋体" w:eastAsia="宋体" w:cs="宋体"/>
          <w:sz w:val="28"/>
          <w:szCs w:val="28"/>
        </w:rPr>
        <w:t>学科带头人和学术骨干中担任本学科或与本学科紧密相关学科的全国或国际学术组织理事（含）以上职务的不足 4 人，且未达到省部级及以上科研成果奖项和教学成果奖项各不少于2人次的要求。</w:t>
      </w:r>
    </w:p>
    <w:p>
      <w:pPr>
        <w:keepNext w:val="0"/>
        <w:keepLines w:val="0"/>
        <w:pageBreakBefore w:val="0"/>
        <w:widowControl/>
        <w:kinsoku/>
        <w:wordWrap/>
        <w:overflowPunct/>
        <w:topLinePunct w:val="0"/>
        <w:autoSpaceDE/>
        <w:autoSpaceDN/>
        <w:bidi w:val="0"/>
        <w:adjustRightInd/>
        <w:snapToGrid/>
        <w:spacing w:before="157" w:beforeLines="50" w:after="157" w:afterLines="50" w:line="520" w:lineRule="exact"/>
        <w:jc w:val="both"/>
        <w:textAlignment w:val="auto"/>
        <w:outlineLvl w:val="9"/>
        <w:rPr>
          <w:rFonts w:hint="eastAsia" w:ascii="Times New Roman" w:hAnsi="Times New Roman" w:eastAsia="黑体" w:cs="黑体"/>
          <w:b/>
          <w:bCs w:val="0"/>
          <w:sz w:val="30"/>
          <w:szCs w:val="30"/>
          <w:lang w:val="en-US" w:eastAsia="zh-CN"/>
        </w:rPr>
      </w:pPr>
      <w:r>
        <w:rPr>
          <w:rFonts w:hint="eastAsia" w:ascii="Times New Roman" w:hAnsi="Times New Roman" w:eastAsia="黑体" w:cs="黑体"/>
          <w:b/>
          <w:bCs w:val="0"/>
          <w:sz w:val="30"/>
          <w:szCs w:val="30"/>
          <w:lang w:val="en-US" w:eastAsia="zh-CN"/>
        </w:rPr>
        <w:t>六、下一年度建设计划</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562" w:firstLineChars="200"/>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1. 培养目标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结合省情和学校专业优势，加大涉农语言服务学科建设和人才协同培养，培养既具有语言专业共性又具有涉农行业个性的应用型、复合外语人才。</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line="520" w:lineRule="exact"/>
        <w:ind w:left="140" w:leftChars="0" w:firstLine="420" w:firstLineChars="0"/>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师资队伍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eastAsia="宋体" w:cs="宋体"/>
          <w:sz w:val="28"/>
          <w:szCs w:val="28"/>
        </w:rPr>
        <w:t>坚持立德树人。落实导师是研究生培养第一责任人的要求，不断增强导师队伍的责任心、使命感和学科主人翁精神。确保足够的时间和精力及时给予研究生启发和指导；有仁爱之心，以德育人，以文化人。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rPr>
        <w:t>改善队伍结构。在提高人才引进质量的同时，挖掘自我培养潜力。为拟申报教授和副教授的团队成员以及学历提升者提供支持和便利条件。加速青年教师培养，稳定学科专业教师规模，改善师资队伍学历、职称和年龄结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3</w:t>
      </w:r>
      <w:r>
        <w:rPr>
          <w:rFonts w:hint="eastAsia" w:ascii="宋体" w:hAnsi="宋体" w:cs="宋体"/>
          <w:sz w:val="28"/>
          <w:szCs w:val="28"/>
          <w:lang w:eastAsia="zh-CN"/>
        </w:rPr>
        <w:t>）</w:t>
      </w:r>
      <w:r>
        <w:rPr>
          <w:rFonts w:hint="eastAsia" w:ascii="宋体" w:hAnsi="宋体" w:cs="宋体"/>
          <w:sz w:val="28"/>
          <w:szCs w:val="28"/>
          <w:lang w:val="en-US" w:eastAsia="zh-CN"/>
        </w:rPr>
        <w:t>进一步</w:t>
      </w:r>
      <w:r>
        <w:rPr>
          <w:rFonts w:hint="eastAsia" w:ascii="宋体" w:hAnsi="宋体" w:eastAsia="宋体" w:cs="宋体"/>
          <w:sz w:val="28"/>
          <w:szCs w:val="28"/>
        </w:rPr>
        <w:t>厘清队伍归属。按二级学科建设翻译学、外国语言学及应用语言学、比较文学与跨文化研究等学科组。实行学科组负责人制，明确固定人员，骨干力量、培养对象，并拟定建设目标与发展规划，年度计划详细可操作，引进竞争机制，开展学科建设竞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4</w:t>
      </w:r>
      <w:r>
        <w:rPr>
          <w:rFonts w:hint="eastAsia" w:ascii="宋体" w:hAnsi="宋体" w:cs="宋体"/>
          <w:sz w:val="28"/>
          <w:szCs w:val="28"/>
          <w:lang w:eastAsia="zh-CN"/>
        </w:rPr>
        <w:t>）</w:t>
      </w:r>
      <w:r>
        <w:rPr>
          <w:rFonts w:hint="eastAsia" w:ascii="宋体" w:hAnsi="宋体" w:cs="宋体"/>
          <w:sz w:val="28"/>
          <w:szCs w:val="28"/>
          <w:lang w:val="en-US" w:eastAsia="zh-CN"/>
        </w:rPr>
        <w:t>实行</w:t>
      </w:r>
      <w:r>
        <w:rPr>
          <w:rFonts w:hint="eastAsia" w:ascii="宋体" w:hAnsi="宋体" w:eastAsia="宋体" w:cs="宋体"/>
          <w:sz w:val="28"/>
          <w:szCs w:val="28"/>
        </w:rPr>
        <w:t>梯队动态组合。严格实行淘汰制，培养2-3名在全省有一定影响力的学科带头人。外籍专任教师服务年限不少于3年,构建了2个有影响力的科研创新团队。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eastAsia="宋体" w:cs="宋体"/>
          <w:sz w:val="28"/>
          <w:szCs w:val="28"/>
        </w:rPr>
        <w:t>鼓励高层级项目产出。激励广大教师，尤其是学科方向带头人和学术骨干申报国家级项目。完善高水平课题和成果的奖励制度，加强奖励力度，对各研究方向获批的国家级项目给予一定比例的项目经费资助。</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562" w:firstLineChars="200"/>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3.科学研究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eastAsia="宋体" w:cs="宋体"/>
          <w:sz w:val="28"/>
          <w:szCs w:val="28"/>
        </w:rPr>
        <w:t>加强科研创新团队建设。组织以主干学科方向为基础的协作团队，培育造就一支具有重大学术影响的学科带头人、青年科研骨干队伍。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rPr>
        <w:t>发掘骨干，扶持青年。多方筹措资金，重点资助学科组、学术带头人和学术骨干的培养，严格选拔制度，实行滚动发展，激励教师积极从事科学研究，进一步取得学校扶持力度。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3</w:t>
      </w:r>
      <w:r>
        <w:rPr>
          <w:rFonts w:hint="eastAsia" w:ascii="宋体" w:hAnsi="宋体" w:cs="宋体"/>
          <w:sz w:val="28"/>
          <w:szCs w:val="28"/>
          <w:lang w:eastAsia="zh-CN"/>
        </w:rPr>
        <w:t>）</w:t>
      </w:r>
      <w:r>
        <w:rPr>
          <w:rFonts w:hint="eastAsia" w:ascii="宋体" w:hAnsi="宋体" w:eastAsia="宋体" w:cs="宋体"/>
          <w:sz w:val="28"/>
          <w:szCs w:val="28"/>
        </w:rPr>
        <w:t>加大科研经费投入力度。逐年扩大对资料室和实训室的建设投资，扩大国内外资料的定购，更新和添置设备、语料库和技术软件，使其更好地为教学、科研服务。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4</w:t>
      </w:r>
      <w:r>
        <w:rPr>
          <w:rFonts w:hint="eastAsia" w:ascii="宋体" w:hAnsi="宋体" w:cs="宋体"/>
          <w:sz w:val="28"/>
          <w:szCs w:val="28"/>
          <w:lang w:eastAsia="zh-CN"/>
        </w:rPr>
        <w:t>）</w:t>
      </w:r>
      <w:r>
        <w:rPr>
          <w:rFonts w:hint="eastAsia" w:ascii="宋体" w:hAnsi="宋体" w:eastAsia="宋体" w:cs="宋体"/>
          <w:sz w:val="28"/>
          <w:szCs w:val="28"/>
        </w:rPr>
        <w:t>加大涉农语言服务研究投入。强化涉农语言服务学科建设和人才培养，广泛开展和参与农业外援、涉外农业技术推广、跨境电商等领域的语言服务。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eastAsia="宋体" w:cs="宋体"/>
          <w:sz w:val="28"/>
          <w:szCs w:val="28"/>
        </w:rPr>
        <w:t>打造学术品牌，营造学术氛围。将通识大讲堂（“师之道﹒研之道﹒学之道”）打造成省内知名的学术交流活动品牌。</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562" w:firstLineChars="200"/>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4. 对外交流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eastAsia="宋体" w:cs="宋体"/>
          <w:sz w:val="28"/>
          <w:szCs w:val="28"/>
        </w:rPr>
        <w:t>完善教师研修、学历提升激励和保障机制。加强合作，广开渠道，为本科生和研究生境外交流和学术交流创造更多机遇。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rPr>
        <w:t>在积极申办学术会议同时，鼓励专任教师克服工学矛盾，积极参加国内外学术交流活动。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3</w:t>
      </w:r>
      <w:r>
        <w:rPr>
          <w:rFonts w:hint="eastAsia" w:ascii="宋体" w:hAnsi="宋体" w:cs="宋体"/>
          <w:sz w:val="28"/>
          <w:szCs w:val="28"/>
          <w:lang w:eastAsia="zh-CN"/>
        </w:rPr>
        <w:t>）</w:t>
      </w:r>
      <w:r>
        <w:rPr>
          <w:rFonts w:hint="eastAsia" w:ascii="宋体" w:hAnsi="宋体" w:eastAsia="宋体" w:cs="宋体"/>
          <w:sz w:val="28"/>
          <w:szCs w:val="28"/>
        </w:rPr>
        <w:t>拓宽学科交流与项目合作，开展学科讨论。就“文化走出去”和“一带一路”战略、“湖湘文化传播”</w:t>
      </w:r>
      <w:r>
        <w:rPr>
          <w:rFonts w:hint="eastAsia" w:ascii="宋体" w:hAnsi="宋体" w:cs="宋体"/>
          <w:sz w:val="28"/>
          <w:szCs w:val="28"/>
          <w:lang w:eastAsia="zh-CN"/>
        </w:rPr>
        <w:t>、“</w:t>
      </w:r>
      <w:r>
        <w:rPr>
          <w:rFonts w:hint="eastAsia" w:ascii="宋体" w:hAnsi="宋体" w:cs="宋体"/>
          <w:sz w:val="28"/>
          <w:szCs w:val="28"/>
          <w:lang w:val="en-US" w:eastAsia="zh-CN"/>
        </w:rPr>
        <w:t>耕读教育和文化</w:t>
      </w:r>
      <w:r>
        <w:rPr>
          <w:rFonts w:hint="eastAsia" w:ascii="宋体" w:hAnsi="宋体" w:cs="宋体"/>
          <w:sz w:val="28"/>
          <w:szCs w:val="28"/>
          <w:lang w:eastAsia="zh-CN"/>
        </w:rPr>
        <w:t>”</w:t>
      </w:r>
      <w:r>
        <w:rPr>
          <w:rFonts w:hint="eastAsia" w:ascii="宋体" w:hAnsi="宋体" w:eastAsia="宋体" w:cs="宋体"/>
          <w:sz w:val="28"/>
          <w:szCs w:val="28"/>
        </w:rPr>
        <w:t>等合理选题，开展国际化文化创新人才培养，扩大对外文化交流以及加强国际传播能力和对外话语体系建设相关领域研究。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center"/>
      <w:textAlignment w:val="baseline"/>
      <w:rPr>
        <w:rFonts w:ascii="Times New Roman" w:hAnsi="Times New Roman" w:eastAsia="宋体" w:cs="Times New Roman"/>
        <w:sz w:val="28"/>
        <w:szCs w:val="28"/>
      </w:rPr>
    </w:pPr>
    <w:r>
      <w:rPr>
        <w:rFonts w:ascii="Calibri" w:hAnsi="Calibri" w:eastAsia="方正仿宋简体" w:cs="Times New Roman"/>
        <w:sz w:val="2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rPr>
                              <w:rFonts w:ascii="Calibri" w:hAnsi="Calibri" w:eastAsia="方正仿宋简体" w:cs="Times New Roman"/>
                              <w:sz w:val="18"/>
                              <w:szCs w:val="18"/>
                            </w:rPr>
                          </w:pPr>
                          <w:r>
                            <w:rPr>
                              <w:rFonts w:hint="eastAsia" w:ascii="Calibri" w:hAnsi="Calibri" w:eastAsia="方正仿宋简体" w:cs="Times New Roman"/>
                              <w:sz w:val="18"/>
                              <w:szCs w:val="18"/>
                            </w:rPr>
                            <w:fldChar w:fldCharType="begin"/>
                          </w:r>
                          <w:r>
                            <w:rPr>
                              <w:rFonts w:hint="eastAsia" w:ascii="Calibri" w:hAnsi="Calibri" w:eastAsia="方正仿宋简体" w:cs="Times New Roman"/>
                              <w:sz w:val="18"/>
                              <w:szCs w:val="18"/>
                            </w:rPr>
                            <w:instrText xml:space="preserve"> PAGE  \* MERGEFORMAT </w:instrText>
                          </w:r>
                          <w:r>
                            <w:rPr>
                              <w:rFonts w:hint="eastAsia" w:ascii="Calibri" w:hAnsi="Calibri" w:eastAsia="方正仿宋简体" w:cs="Times New Roman"/>
                              <w:sz w:val="18"/>
                              <w:szCs w:val="18"/>
                            </w:rPr>
                            <w:fldChar w:fldCharType="separate"/>
                          </w:r>
                          <w:r>
                            <w:rPr>
                              <w:rFonts w:ascii="Calibri" w:hAnsi="Calibri" w:eastAsia="方正仿宋简体" w:cs="Times New Roman"/>
                              <w:sz w:val="18"/>
                              <w:szCs w:val="18"/>
                            </w:rPr>
                            <w:t>5</w:t>
                          </w:r>
                          <w:r>
                            <w:rPr>
                              <w:rFonts w:hint="eastAsia" w:ascii="Calibri" w:hAnsi="Calibri" w:eastAsia="方正仿宋简体"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Calibri" w:hAnsi="Calibri" w:eastAsia="方正仿宋简体" w:cs="Times New Roman"/>
                        <w:sz w:val="18"/>
                        <w:szCs w:val="18"/>
                      </w:rPr>
                    </w:pPr>
                    <w:r>
                      <w:rPr>
                        <w:rFonts w:hint="eastAsia" w:ascii="Calibri" w:hAnsi="Calibri" w:eastAsia="方正仿宋简体" w:cs="Times New Roman"/>
                        <w:sz w:val="18"/>
                        <w:szCs w:val="18"/>
                      </w:rPr>
                      <w:fldChar w:fldCharType="begin"/>
                    </w:r>
                    <w:r>
                      <w:rPr>
                        <w:rFonts w:hint="eastAsia" w:ascii="Calibri" w:hAnsi="Calibri" w:eastAsia="方正仿宋简体" w:cs="Times New Roman"/>
                        <w:sz w:val="18"/>
                        <w:szCs w:val="18"/>
                      </w:rPr>
                      <w:instrText xml:space="preserve"> PAGE  \* MERGEFORMAT </w:instrText>
                    </w:r>
                    <w:r>
                      <w:rPr>
                        <w:rFonts w:hint="eastAsia" w:ascii="Calibri" w:hAnsi="Calibri" w:eastAsia="方正仿宋简体" w:cs="Times New Roman"/>
                        <w:sz w:val="18"/>
                        <w:szCs w:val="18"/>
                      </w:rPr>
                      <w:fldChar w:fldCharType="separate"/>
                    </w:r>
                    <w:r>
                      <w:rPr>
                        <w:rFonts w:ascii="Calibri" w:hAnsi="Calibri" w:eastAsia="方正仿宋简体" w:cs="Times New Roman"/>
                        <w:sz w:val="18"/>
                        <w:szCs w:val="18"/>
                      </w:rPr>
                      <w:t>5</w:t>
                    </w:r>
                    <w:r>
                      <w:rPr>
                        <w:rFonts w:hint="eastAsia" w:ascii="Calibri" w:hAnsi="Calibri" w:eastAsia="方正仿宋简体" w:cs="Times New Roman"/>
                        <w:sz w:val="18"/>
                        <w:szCs w:val="18"/>
                      </w:rPr>
                      <w:fldChar w:fldCharType="end"/>
                    </w:r>
                  </w:p>
                </w:txbxContent>
              </v:textbox>
            </v:shape>
          </w:pict>
        </mc:Fallback>
      </mc:AlternateContent>
    </w:r>
  </w:p>
  <w:p>
    <w:pPr>
      <w:widowControl/>
      <w:tabs>
        <w:tab w:val="center" w:pos="4153"/>
        <w:tab w:val="right" w:pos="8306"/>
      </w:tabs>
      <w:snapToGrid w:val="0"/>
      <w:jc w:val="center"/>
      <w:textAlignment w:val="baseline"/>
      <w:rPr>
        <w:rFonts w:ascii="Times New Roman" w:hAnsi="Times New Roman" w:eastAsia="宋体" w:cs="Times New Roman"/>
        <w:sz w:val="28"/>
        <w:szCs w:val="28"/>
      </w:rPr>
    </w:pPr>
    <w:r>
      <w:rPr>
        <w:rFonts w:ascii="Times New Roman" w:hAnsi="Times New Roman" w:eastAsia="宋体"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tabs>
                              <w:tab w:val="center" w:pos="4153"/>
                              <w:tab w:val="right" w:pos="8306"/>
                            </w:tabs>
                            <w:snapToGrid w:val="0"/>
                            <w:jc w:val="center"/>
                            <w:textAlignment w:val="baseline"/>
                            <w:rPr>
                              <w:rFonts w:ascii="仿宋_GB2312" w:hAnsi="仿宋_GB2312" w:eastAsia="仿宋_GB2312" w:cs="Times New Roman"/>
                              <w:sz w:val="28"/>
                              <w:szCs w:val="28"/>
                            </w:rPr>
                          </w:pPr>
                        </w:p>
                        <w:p>
                          <w:pPr>
                            <w:textAlignment w:val="baseline"/>
                            <w:rPr>
                              <w:rFonts w:ascii="Times New Roman" w:hAnsi="Times New Roman" w:eastAsia="宋体" w:cs="Times New Roman"/>
                              <w:szCs w:val="24"/>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7uOX0gAAAAUBAAAPAAAAAAAAAAEAIAAAACIAAABkcnMvZG93&#10;bnJldi54bWxQSwECFAAUAAAACACHTuJA+OBYiM0BAACYAwAADgAAAAAAAAABACAAAAAhAQAAZHJz&#10;L2Uyb0RvYy54bWxQSwUGAAAAAAYABgBZAQAAYAUAAAAA&#10;">
              <v:fill on="f" focussize="0,0"/>
              <v:stroke on="f" weight="1.25pt"/>
              <v:imagedata o:title=""/>
              <o:lock v:ext="edit" aspectratio="f"/>
              <v:textbox inset="0mm,0mm,0mm,0mm">
                <w:txbxContent>
                  <w:p>
                    <w:pPr>
                      <w:widowControl/>
                      <w:tabs>
                        <w:tab w:val="center" w:pos="4153"/>
                        <w:tab w:val="right" w:pos="8306"/>
                      </w:tabs>
                      <w:snapToGrid w:val="0"/>
                      <w:jc w:val="center"/>
                      <w:textAlignment w:val="baseline"/>
                      <w:rPr>
                        <w:rFonts w:ascii="仿宋_GB2312" w:hAnsi="仿宋_GB2312" w:eastAsia="仿宋_GB2312" w:cs="Times New Roman"/>
                        <w:sz w:val="28"/>
                        <w:szCs w:val="28"/>
                      </w:rPr>
                    </w:pPr>
                  </w:p>
                  <w:p>
                    <w:pPr>
                      <w:textAlignment w:val="baseline"/>
                      <w:rPr>
                        <w:rFonts w:ascii="Times New Roman" w:hAnsi="Times New Roman" w:eastAsia="宋体" w:cs="Times New Roman"/>
                        <w:szCs w:val="2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9625A"/>
    <w:multiLevelType w:val="singleLevel"/>
    <w:tmpl w:val="96C9625A"/>
    <w:lvl w:ilvl="0" w:tentative="0">
      <w:start w:val="1"/>
      <w:numFmt w:val="decimal"/>
      <w:lvlText w:val="(%1)"/>
      <w:lvlJc w:val="left"/>
      <w:pPr>
        <w:ind w:left="425" w:hanging="425"/>
      </w:pPr>
      <w:rPr>
        <w:rFonts w:hint="default"/>
      </w:rPr>
    </w:lvl>
  </w:abstractNum>
  <w:abstractNum w:abstractNumId="1">
    <w:nsid w:val="A71E5BDE"/>
    <w:multiLevelType w:val="singleLevel"/>
    <w:tmpl w:val="A71E5BDE"/>
    <w:lvl w:ilvl="0" w:tentative="0">
      <w:start w:val="9"/>
      <w:numFmt w:val="decimal"/>
      <w:suff w:val="space"/>
      <w:lvlText w:val="%1."/>
      <w:lvlJc w:val="left"/>
    </w:lvl>
  </w:abstractNum>
  <w:abstractNum w:abstractNumId="2">
    <w:nsid w:val="CE1641D3"/>
    <w:multiLevelType w:val="singleLevel"/>
    <w:tmpl w:val="CE1641D3"/>
    <w:lvl w:ilvl="0" w:tentative="0">
      <w:start w:val="1"/>
      <w:numFmt w:val="decimal"/>
      <w:lvlText w:val="(%1)"/>
      <w:lvlJc w:val="left"/>
      <w:pPr>
        <w:ind w:left="425" w:hanging="425"/>
      </w:pPr>
      <w:rPr>
        <w:rFonts w:hint="default"/>
      </w:rPr>
    </w:lvl>
  </w:abstractNum>
  <w:abstractNum w:abstractNumId="3">
    <w:nsid w:val="D4F6ADE9"/>
    <w:multiLevelType w:val="singleLevel"/>
    <w:tmpl w:val="D4F6ADE9"/>
    <w:lvl w:ilvl="0" w:tentative="0">
      <w:start w:val="1"/>
      <w:numFmt w:val="decimal"/>
      <w:suff w:val="space"/>
      <w:lvlText w:val="%1."/>
      <w:lvlJc w:val="left"/>
    </w:lvl>
  </w:abstractNum>
  <w:abstractNum w:abstractNumId="4">
    <w:nsid w:val="E62CFE93"/>
    <w:multiLevelType w:val="singleLevel"/>
    <w:tmpl w:val="E62CFE93"/>
    <w:lvl w:ilvl="0" w:tentative="0">
      <w:start w:val="1"/>
      <w:numFmt w:val="decimal"/>
      <w:lvlText w:val="%1."/>
      <w:lvlJc w:val="left"/>
      <w:pPr>
        <w:ind w:left="565" w:hanging="425"/>
      </w:pPr>
      <w:rPr>
        <w:rFonts w:hint="default"/>
      </w:rPr>
    </w:lvl>
  </w:abstractNum>
  <w:abstractNum w:abstractNumId="5">
    <w:nsid w:val="428FE9AF"/>
    <w:multiLevelType w:val="singleLevel"/>
    <w:tmpl w:val="428FE9AF"/>
    <w:lvl w:ilvl="0" w:tentative="0">
      <w:start w:val="5"/>
      <w:numFmt w:val="decimal"/>
      <w:suff w:val="space"/>
      <w:lvlText w:val="%1."/>
      <w:lvlJc w:val="left"/>
      <w:rPr>
        <w:rFonts w:hint="default"/>
        <w:b/>
        <w:bCs/>
      </w:rPr>
    </w:lvl>
  </w:abstractNum>
  <w:abstractNum w:abstractNumId="6">
    <w:nsid w:val="46E442B5"/>
    <w:multiLevelType w:val="singleLevel"/>
    <w:tmpl w:val="46E442B5"/>
    <w:lvl w:ilvl="0" w:tentative="0">
      <w:start w:val="2"/>
      <w:numFmt w:val="decimal"/>
      <w:suff w:val="space"/>
      <w:lvlText w:val="%1."/>
      <w:lvlJc w:val="left"/>
    </w:lvl>
  </w:abstractNum>
  <w:abstractNum w:abstractNumId="7">
    <w:nsid w:val="50633FB3"/>
    <w:multiLevelType w:val="singleLevel"/>
    <w:tmpl w:val="50633FB3"/>
    <w:lvl w:ilvl="0" w:tentative="0">
      <w:start w:val="1"/>
      <w:numFmt w:val="decimal"/>
      <w:lvlText w:val="(%1)"/>
      <w:lvlJc w:val="left"/>
      <w:pPr>
        <w:ind w:left="425" w:hanging="425"/>
      </w:pPr>
      <w:rPr>
        <w:rFonts w:hint="default"/>
      </w:rPr>
    </w:lvl>
  </w:abstractNum>
  <w:abstractNum w:abstractNumId="8">
    <w:nsid w:val="63625C65"/>
    <w:multiLevelType w:val="singleLevel"/>
    <w:tmpl w:val="63625C65"/>
    <w:lvl w:ilvl="0" w:tentative="0">
      <w:start w:val="1"/>
      <w:numFmt w:val="decimal"/>
      <w:lvlText w:val="(%1)"/>
      <w:lvlJc w:val="left"/>
      <w:pPr>
        <w:ind w:left="425" w:hanging="425"/>
      </w:pPr>
      <w:rPr>
        <w:rFonts w:hint="default"/>
      </w:rPr>
    </w:lvl>
  </w:abstractNum>
  <w:num w:numId="1">
    <w:abstractNumId w:val="7"/>
  </w:num>
  <w:num w:numId="2">
    <w:abstractNumId w:val="6"/>
  </w:num>
  <w:num w:numId="3">
    <w:abstractNumId w:val="2"/>
  </w:num>
  <w:num w:numId="4">
    <w:abstractNumId w:val="8"/>
  </w:num>
  <w:num w:numId="5">
    <w:abstractNumId w:val="0"/>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1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4A"/>
    <w:rsid w:val="000071F3"/>
    <w:rsid w:val="000232FE"/>
    <w:rsid w:val="00095862"/>
    <w:rsid w:val="00262E13"/>
    <w:rsid w:val="003B3B1B"/>
    <w:rsid w:val="003C214A"/>
    <w:rsid w:val="003F2808"/>
    <w:rsid w:val="004B2E15"/>
    <w:rsid w:val="00702921"/>
    <w:rsid w:val="00815606"/>
    <w:rsid w:val="00A15D5D"/>
    <w:rsid w:val="00A52B67"/>
    <w:rsid w:val="00A56B12"/>
    <w:rsid w:val="00A9212D"/>
    <w:rsid w:val="00AC220F"/>
    <w:rsid w:val="00AD394F"/>
    <w:rsid w:val="00C74EAB"/>
    <w:rsid w:val="00CD3AB0"/>
    <w:rsid w:val="00D850F5"/>
    <w:rsid w:val="00D85369"/>
    <w:rsid w:val="00E57D81"/>
    <w:rsid w:val="00EB2D9C"/>
    <w:rsid w:val="00EE4288"/>
    <w:rsid w:val="00EF0BE1"/>
    <w:rsid w:val="00F21365"/>
    <w:rsid w:val="00FE4996"/>
    <w:rsid w:val="02294D7B"/>
    <w:rsid w:val="0448622A"/>
    <w:rsid w:val="0A6937F7"/>
    <w:rsid w:val="0D74571C"/>
    <w:rsid w:val="1C092E3D"/>
    <w:rsid w:val="1CD67576"/>
    <w:rsid w:val="24981EC7"/>
    <w:rsid w:val="2AD26288"/>
    <w:rsid w:val="31B47737"/>
    <w:rsid w:val="32F95C06"/>
    <w:rsid w:val="342C0E03"/>
    <w:rsid w:val="35CE699B"/>
    <w:rsid w:val="3E2462D6"/>
    <w:rsid w:val="44686C4B"/>
    <w:rsid w:val="4A052E8D"/>
    <w:rsid w:val="4D0D14BC"/>
    <w:rsid w:val="4F711479"/>
    <w:rsid w:val="52B51C3B"/>
    <w:rsid w:val="53B84C57"/>
    <w:rsid w:val="543A69C3"/>
    <w:rsid w:val="5660688E"/>
    <w:rsid w:val="5EE75C91"/>
    <w:rsid w:val="618D2305"/>
    <w:rsid w:val="6D374CDD"/>
    <w:rsid w:val="6D3C25D0"/>
    <w:rsid w:val="78A124DB"/>
    <w:rsid w:val="793C6E66"/>
    <w:rsid w:val="7B03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Ascii" w:hAnsiTheme="minorAscii" w:cstheme="minorBidi"/>
      <w:kern w:val="2"/>
      <w:sz w:val="28"/>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font71"/>
    <w:basedOn w:val="9"/>
    <w:qFormat/>
    <w:uiPriority w:val="0"/>
    <w:rPr>
      <w:rFonts w:hint="eastAsia" w:ascii="宋体" w:hAnsi="宋体" w:eastAsia="宋体" w:cs="宋体"/>
      <w:color w:val="auto"/>
      <w:sz w:val="20"/>
      <w:szCs w:val="20"/>
      <w:u w:val="none"/>
    </w:rPr>
  </w:style>
  <w:style w:type="character" w:customStyle="1" w:styleId="13">
    <w:name w:val="font61"/>
    <w:basedOn w:val="9"/>
    <w:qFormat/>
    <w:uiPriority w:val="0"/>
    <w:rPr>
      <w:rFonts w:hint="default" w:ascii="Times New Roman" w:hAnsi="Times New Roman" w:cs="Times New Roman"/>
      <w:color w:val="auto"/>
      <w:sz w:val="20"/>
      <w:szCs w:val="20"/>
      <w:u w:val="none"/>
    </w:rPr>
  </w:style>
  <w:style w:type="paragraph" w:customStyle="1" w:styleId="14">
    <w:name w:val="正文文本 (2)"/>
    <w:basedOn w:val="1"/>
    <w:qFormat/>
    <w:uiPriority w:val="0"/>
    <w:pPr>
      <w:shd w:val="clear" w:color="auto" w:fill="FFFFFF"/>
      <w:spacing w:line="600" w:lineRule="exact"/>
      <w:ind w:firstLine="560"/>
    </w:pPr>
    <w:rPr>
      <w:rFonts w:ascii="宋体" w:hAnsi="宋体" w:eastAsia="宋体" w:cs="宋体"/>
      <w:color w:val="auto"/>
      <w:kern w:val="2"/>
      <w:sz w:val="28"/>
      <w:szCs w:val="28"/>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C9029-2B99-4CFF-AE75-D36938B6FA68}">
  <ds:schemaRefs/>
</ds:datastoreItem>
</file>

<file path=docProps/app.xml><?xml version="1.0" encoding="utf-8"?>
<Properties xmlns="http://schemas.openxmlformats.org/officeDocument/2006/extended-properties" xmlns:vt="http://schemas.openxmlformats.org/officeDocument/2006/docPropsVTypes">
  <Template>Normal</Template>
  <Pages>5</Pages>
  <Words>250</Words>
  <Characters>1426</Characters>
  <Lines>11</Lines>
  <Paragraphs>3</Paragraphs>
  <TotalTime>41</TotalTime>
  <ScaleCrop>false</ScaleCrop>
  <LinksUpToDate>false</LinksUpToDate>
  <CharactersWithSpaces>1673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2021-12-16T09:21:00Z</dcterms:created>
  <dc:creator>肖静</dc:creator>
  <cp:lastModifiedBy>Bill</cp:lastModifiedBy>
  <cp:lastPrinted>2022-01-22T12:46:37Z</cp:lastPrinted>
  <dcterms:modified xsi:type="dcterms:W3CDTF">2022-01-22T12:51:09Z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90A67A70DBBF423DB7889C0B64B74FA2</vt:lpwstr>
  </property>
</Properties>
</file>