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31" w:rsidRDefault="00F74B31" w:rsidP="00F74B31">
      <w:pPr>
        <w:tabs>
          <w:tab w:val="left" w:pos="6975"/>
        </w:tabs>
        <w:spacing w:line="52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F74B31" w:rsidRDefault="00F74B31" w:rsidP="00F74B31">
      <w:pPr>
        <w:tabs>
          <w:tab w:val="left" w:pos="6975"/>
        </w:tabs>
        <w:spacing w:line="52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F74B31" w:rsidRDefault="00F74B31" w:rsidP="00F74B31">
      <w:pPr>
        <w:tabs>
          <w:tab w:val="left" w:pos="6975"/>
        </w:tabs>
        <w:spacing w:line="52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74572A" w:rsidRDefault="0074572A" w:rsidP="0074572A">
      <w:pPr>
        <w:tabs>
          <w:tab w:val="left" w:pos="6975"/>
        </w:tabs>
        <w:spacing w:line="52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湘农教发〔2017〕28号</w:t>
      </w:r>
    </w:p>
    <w:p w:rsidR="0074572A" w:rsidRDefault="0074572A" w:rsidP="0074572A">
      <w:pPr>
        <w:spacing w:line="52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74572A" w:rsidRDefault="0074572A" w:rsidP="0074572A">
      <w:pPr>
        <w:spacing w:line="52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kern w:val="0"/>
          <w:sz w:val="36"/>
          <w:szCs w:val="36"/>
        </w:rPr>
        <w:t>关于批准2017年度湖南农业大学“大学生创新性实验计划项目”立项的通知</w:t>
      </w:r>
    </w:p>
    <w:p w:rsidR="0074572A" w:rsidRDefault="0074572A" w:rsidP="0074572A">
      <w:pPr>
        <w:spacing w:line="520" w:lineRule="exact"/>
        <w:jc w:val="left"/>
        <w:textAlignment w:val="baseline"/>
        <w:rPr>
          <w:rFonts w:ascii="仿宋_GB2312" w:eastAsia="仿宋_GB2312" w:hAnsi="仿宋_GB2312"/>
          <w:b/>
          <w:kern w:val="0"/>
          <w:sz w:val="40"/>
          <w:szCs w:val="40"/>
        </w:rPr>
      </w:pPr>
    </w:p>
    <w:p w:rsidR="0074572A" w:rsidRDefault="0074572A" w:rsidP="0074572A">
      <w:pPr>
        <w:spacing w:line="520" w:lineRule="exact"/>
        <w:jc w:val="left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各学院：</w:t>
      </w:r>
    </w:p>
    <w:p w:rsidR="0074572A" w:rsidRDefault="0074572A" w:rsidP="0074572A">
      <w:pPr>
        <w:spacing w:line="520" w:lineRule="exact"/>
        <w:ind w:firstLine="555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根据省教育厅《关于申报2017年度湖南省大学生研究性学习和创新性实验计划项目的通知》（湘教通</w:t>
      </w:r>
      <w:r>
        <w:rPr>
          <w:rFonts w:ascii="仿宋_GB2312" w:eastAsia="仿宋_GB2312" w:hint="eastAsia"/>
          <w:bCs/>
          <w:sz w:val="28"/>
          <w:szCs w:val="28"/>
        </w:rPr>
        <w:t xml:space="preserve">〔2017〕116 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号）和《关于组织申报2017年度湖南农业大学“大学生创新性实验计划项目”的通知》（湘农教发</w:t>
      </w:r>
      <w:r>
        <w:rPr>
          <w:rFonts w:ascii="仿宋_GB2312" w:eastAsia="仿宋_GB2312" w:hint="eastAsia"/>
          <w:bCs/>
          <w:sz w:val="28"/>
          <w:szCs w:val="28"/>
        </w:rPr>
        <w:t xml:space="preserve">〔2017〕19 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号）等文件部署，学校组织申报了2017年度湖南农业大学“大学生创新性实验计划项目”和推荐“湖南省大学生研究性学习和创新性实验计划项目”申报评审工作。经个人申报、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学院择优推荐、学校评审，韩佩玲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等同学申报的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“</w:t>
      </w:r>
      <w:r>
        <w:rPr>
          <w:rFonts w:ascii="仿宋_GB2312" w:eastAsia="仿宋_GB2312" w:hAnsi="宋体" w:hint="eastAsia"/>
          <w:sz w:val="28"/>
          <w:szCs w:val="28"/>
        </w:rPr>
        <w:t>基于环境心理学的大学校园公共活动空间研究”等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124项课题作为2017年校级“大学生创新性实验计划项目”予以立项；同时汪娜等同学申报的“</w:t>
      </w:r>
      <w:r>
        <w:rPr>
          <w:rFonts w:ascii="仿宋_GB2312" w:eastAsia="仿宋_GB2312" w:hAnsi="宋体" w:hint="eastAsia"/>
          <w:sz w:val="28"/>
          <w:szCs w:val="28"/>
        </w:rPr>
        <w:t>钩吻生物碱散的成型工艺及质量标准研究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”等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22项课题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推荐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为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湖南省“大学生研究性学习和创新性实验计划项目”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的财政资助项目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；邓慧晶等同学申报的“</w:t>
      </w:r>
      <w:r>
        <w:rPr>
          <w:rFonts w:ascii="仿宋_GB2312" w:eastAsia="仿宋_GB2312" w:hAnsi="宋体" w:hint="eastAsia"/>
          <w:sz w:val="28"/>
          <w:szCs w:val="28"/>
        </w:rPr>
        <w:t>Atsnc1基因在甘蓝型油菜免疫中的功能初步研究”等18项课题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推荐</w:t>
      </w:r>
      <w:r w:rsidR="003277A0">
        <w:rPr>
          <w:rFonts w:ascii="仿宋_GB2312" w:eastAsia="仿宋_GB2312" w:hAnsi="宋体" w:hint="eastAsia"/>
          <w:sz w:val="28"/>
          <w:szCs w:val="28"/>
        </w:rPr>
        <w:t>为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湖南省“大学生研究性学习和创新性实验计划项目”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学校自愿配套项目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。现予公布（见附件1）。</w:t>
      </w:r>
    </w:p>
    <w:p w:rsidR="003277A0" w:rsidRDefault="0074572A" w:rsidP="0074572A">
      <w:pPr>
        <w:spacing w:line="520" w:lineRule="exact"/>
        <w:ind w:firstLineChars="200" w:firstLine="560"/>
        <w:textAlignment w:val="baseline"/>
        <w:rPr>
          <w:rFonts w:ascii="仿宋_GB2312" w:eastAsia="仿宋_GB2312" w:hAnsi="仿宋_GB2312" w:hint="eastAsia"/>
          <w:kern w:val="0"/>
          <w:sz w:val="28"/>
          <w:szCs w:val="20"/>
        </w:rPr>
      </w:pPr>
      <w:r>
        <w:rPr>
          <w:rFonts w:ascii="仿宋_GB2312" w:eastAsia="仿宋_GB2312" w:hAnsi="宋体" w:hint="eastAsia"/>
          <w:sz w:val="28"/>
          <w:szCs w:val="28"/>
        </w:rPr>
        <w:t>各项目负责人应按立项申请表开展项目的实施工作，学院及导师应督促项目按计划开展项目研究，并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按照《湖南农业大学“大学生创新性实验计划项目”管理办法》（湘农大〔2008〕36号）进行管理。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lastRenderedPageBreak/>
        <w:t>项目负责人组织团队成员积极主动、独立自主地开展研究工作，在预期时间内、按计划要求完成研究内容，做好研究记录；并针对研究项目以学生为第一作者发表论文，同时须标明项目编号。各学院及相关的实验中心等要为项目的实施提供实验场地、设备等条件支持，确保项目顺利实施。</w:t>
      </w:r>
    </w:p>
    <w:p w:rsidR="003277A0" w:rsidRDefault="0074572A" w:rsidP="0074572A">
      <w:pPr>
        <w:spacing w:line="520" w:lineRule="exact"/>
        <w:ind w:firstLineChars="200" w:firstLine="560"/>
        <w:textAlignment w:val="baseline"/>
        <w:rPr>
          <w:rFonts w:ascii="仿宋_GB2312" w:eastAsia="仿宋_GB2312" w:hAnsi="仿宋_GB2312" w:hint="eastAsia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本次学校将拨付研究经费的50％，用于项目启动实施，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学校组织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中期检查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、结题验收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合格后，再拨付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另外50%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经费。</w:t>
      </w:r>
      <w:r w:rsidR="00D43D93">
        <w:rPr>
          <w:rFonts w:ascii="仿宋_GB2312" w:eastAsia="仿宋_GB2312" w:hAnsi="仿宋_GB2312" w:hint="eastAsia"/>
          <w:kern w:val="0"/>
          <w:sz w:val="28"/>
          <w:szCs w:val="20"/>
        </w:rPr>
        <w:t>其中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推荐的省级自愿配套项目</w:t>
      </w:r>
      <w:r w:rsidR="00D43D93">
        <w:rPr>
          <w:rFonts w:ascii="仿宋_GB2312" w:eastAsia="仿宋_GB2312" w:hAnsi="仿宋_GB2312" w:hint="eastAsia"/>
          <w:kern w:val="0"/>
          <w:sz w:val="28"/>
          <w:szCs w:val="20"/>
        </w:rPr>
        <w:t>经费</w:t>
      </w:r>
      <w:r w:rsidR="003277A0">
        <w:rPr>
          <w:rFonts w:ascii="仿宋_GB2312" w:eastAsia="仿宋_GB2312" w:hAnsi="仿宋_GB2312" w:hint="eastAsia"/>
          <w:kern w:val="0"/>
          <w:sz w:val="28"/>
          <w:szCs w:val="20"/>
        </w:rPr>
        <w:t>由学院本科教学业务费资助。</w:t>
      </w:r>
    </w:p>
    <w:p w:rsidR="0074572A" w:rsidRDefault="0074572A" w:rsidP="0074572A">
      <w:pPr>
        <w:spacing w:line="520" w:lineRule="exact"/>
        <w:ind w:firstLineChars="200" w:firstLine="560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各项目的组织实施情况，学校作为确定各学院以后项目</w:t>
      </w:r>
      <w:r w:rsidR="00D43D93">
        <w:rPr>
          <w:rFonts w:ascii="仿宋_GB2312" w:eastAsia="仿宋_GB2312" w:hAnsi="仿宋_GB2312" w:hint="eastAsia"/>
          <w:kern w:val="0"/>
          <w:sz w:val="28"/>
          <w:szCs w:val="20"/>
        </w:rPr>
        <w:t>申报数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>的重要依据之一，项目完成不到位的学院，将相应减少该学院来年的资助名额等。</w:t>
      </w:r>
    </w:p>
    <w:p w:rsidR="0074572A" w:rsidRDefault="0074572A" w:rsidP="0074572A">
      <w:pPr>
        <w:spacing w:line="520" w:lineRule="exact"/>
        <w:ind w:leftChars="8" w:left="17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</w:p>
    <w:p w:rsidR="0074572A" w:rsidRDefault="0074572A" w:rsidP="0074572A">
      <w:pPr>
        <w:spacing w:line="520" w:lineRule="exact"/>
        <w:ind w:leftChars="8" w:left="17" w:firstLineChars="200" w:firstLine="560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附件1：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2017年度湖南农业大学“大学生创新性实验计划项目”一览表</w:t>
      </w:r>
    </w:p>
    <w:p w:rsidR="0074572A" w:rsidRDefault="0074572A" w:rsidP="0074572A">
      <w:pPr>
        <w:spacing w:line="520" w:lineRule="exact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 xml:space="preserve">                                            </w:t>
      </w:r>
    </w:p>
    <w:p w:rsidR="0074572A" w:rsidRDefault="0074572A" w:rsidP="0074572A">
      <w:pPr>
        <w:spacing w:line="520" w:lineRule="exact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</w:p>
    <w:p w:rsidR="0074572A" w:rsidRDefault="0074572A" w:rsidP="0074572A">
      <w:pPr>
        <w:tabs>
          <w:tab w:val="right" w:pos="8958"/>
        </w:tabs>
        <w:spacing w:line="520" w:lineRule="exact"/>
        <w:ind w:firstLineChars="2000" w:firstLine="5600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湖南农业大学教务处</w:t>
      </w:r>
      <w:r>
        <w:rPr>
          <w:rFonts w:ascii="仿宋_GB2312" w:eastAsia="仿宋_GB2312" w:hAnsi="仿宋_GB2312" w:hint="eastAsia"/>
          <w:kern w:val="0"/>
          <w:sz w:val="28"/>
          <w:szCs w:val="20"/>
        </w:rPr>
        <w:tab/>
      </w:r>
    </w:p>
    <w:p w:rsidR="0074572A" w:rsidRDefault="0074572A" w:rsidP="0074572A">
      <w:pPr>
        <w:spacing w:line="520" w:lineRule="exact"/>
        <w:ind w:firstLineChars="2100" w:firstLine="5880"/>
        <w:textAlignment w:val="baseline"/>
        <w:rPr>
          <w:rFonts w:ascii="仿宋_GB2312" w:eastAsia="仿宋_GB2312" w:hAnsi="仿宋_GB2312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2017年4月20日</w:t>
      </w:r>
    </w:p>
    <w:p w:rsidR="0074572A" w:rsidRDefault="0074572A" w:rsidP="0074572A"/>
    <w:p w:rsidR="00F74B31" w:rsidRPr="0074572A" w:rsidRDefault="00F74B31" w:rsidP="00F74B31">
      <w:pPr>
        <w:tabs>
          <w:tab w:val="left" w:pos="6975"/>
        </w:tabs>
        <w:spacing w:line="520" w:lineRule="exact"/>
        <w:jc w:val="center"/>
        <w:rPr>
          <w:rFonts w:ascii="仿宋_GB2312" w:eastAsia="仿宋_GB2312"/>
          <w:bCs/>
          <w:sz w:val="28"/>
          <w:szCs w:val="28"/>
        </w:rPr>
      </w:pPr>
    </w:p>
    <w:p w:rsidR="000E1003" w:rsidRPr="00F74B31" w:rsidRDefault="000E1003"/>
    <w:sectPr w:rsidR="000E1003" w:rsidRPr="00F74B31" w:rsidSect="00B2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DC" w:rsidRDefault="008C48DC" w:rsidP="00F74B31">
      <w:r>
        <w:separator/>
      </w:r>
    </w:p>
  </w:endnote>
  <w:endnote w:type="continuationSeparator" w:id="1">
    <w:p w:rsidR="008C48DC" w:rsidRDefault="008C48DC" w:rsidP="00F7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DC" w:rsidRDefault="008C48DC" w:rsidP="00F74B31">
      <w:r>
        <w:separator/>
      </w:r>
    </w:p>
  </w:footnote>
  <w:footnote w:type="continuationSeparator" w:id="1">
    <w:p w:rsidR="008C48DC" w:rsidRDefault="008C48DC" w:rsidP="00F74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B31"/>
    <w:rsid w:val="000E1003"/>
    <w:rsid w:val="003277A0"/>
    <w:rsid w:val="006F3B96"/>
    <w:rsid w:val="00730DC7"/>
    <w:rsid w:val="0074572A"/>
    <w:rsid w:val="008C48DC"/>
    <w:rsid w:val="00B26E69"/>
    <w:rsid w:val="00C65F27"/>
    <w:rsid w:val="00D04DD8"/>
    <w:rsid w:val="00D43D93"/>
    <w:rsid w:val="00F7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2017-04-25T08:32:00Z</dcterms:created>
  <dcterms:modified xsi:type="dcterms:W3CDTF">2017-04-25T08:32:00Z</dcterms:modified>
</cp:coreProperties>
</file>